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AE" w:rsidRDefault="00A05FAE" w:rsidP="00162FB2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A5325F" w:rsidRDefault="00A5325F" w:rsidP="0020636E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C4793" w:rsidRDefault="00EC4793" w:rsidP="0020636E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EC4793" w:rsidRPr="00EC4793" w:rsidRDefault="00EC4793" w:rsidP="0020636E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636E" w:rsidRPr="00F6283D" w:rsidRDefault="00F6283D" w:rsidP="0020636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57FAC">
        <w:rPr>
          <w:rFonts w:ascii="Arial" w:hAnsi="Arial" w:cs="Arial"/>
          <w:b/>
          <w:bCs/>
          <w:sz w:val="20"/>
          <w:szCs w:val="20"/>
        </w:rPr>
        <w:t xml:space="preserve">ΔΙΑΔΙΚΑΣΙΑ ΑΣΚΗΣΗΣ </w:t>
      </w:r>
      <w:r w:rsidR="0020636E" w:rsidRPr="00457FAC">
        <w:rPr>
          <w:rFonts w:ascii="Arial" w:hAnsi="Arial" w:cs="Arial"/>
          <w:b/>
          <w:bCs/>
          <w:sz w:val="20"/>
          <w:szCs w:val="20"/>
        </w:rPr>
        <w:t xml:space="preserve">ΤΩΝ ΠΑΡΑΣΤΑΤΙΚΩΝ ΤΙΤΛΩΝ ΔΙΚΑΙΩΜΑΤΩΝ ΚΤΗΣΗΣ ΜΕΤΟΧΩΝ (WARRANTS) </w:t>
      </w:r>
      <w:r w:rsidRPr="00457FAC">
        <w:rPr>
          <w:rFonts w:ascii="Arial" w:hAnsi="Arial" w:cs="Arial"/>
          <w:b/>
          <w:bCs/>
          <w:sz w:val="20"/>
          <w:szCs w:val="20"/>
        </w:rPr>
        <w:t>ΚΑΙ ΔΙΑΚΑΝΟΝΙΣΜΟΥ ΤΩΝ ΕΝΤΟΛΩΝ ΣΥΜΜΕΤΟΧΗΣ</w:t>
      </w:r>
      <w:r w:rsidR="00270EA5">
        <w:rPr>
          <w:rFonts w:ascii="Arial" w:hAnsi="Arial" w:cs="Arial"/>
          <w:b/>
          <w:bCs/>
          <w:sz w:val="20"/>
          <w:szCs w:val="20"/>
        </w:rPr>
        <w:t xml:space="preserve"> ΔΙΚΑΙΟΥΧΩΝ</w:t>
      </w:r>
    </w:p>
    <w:p w:rsidR="00380E67" w:rsidRDefault="00380E67" w:rsidP="00692BFD">
      <w:pPr>
        <w:spacing w:after="120"/>
        <w:rPr>
          <w:rFonts w:ascii="Arial" w:hAnsi="Arial" w:cs="Arial"/>
          <w:sz w:val="20"/>
          <w:szCs w:val="20"/>
        </w:rPr>
      </w:pPr>
    </w:p>
    <w:p w:rsidR="00D13288" w:rsidRPr="001C048F" w:rsidRDefault="00F6283D" w:rsidP="00F6283D">
      <w:pPr>
        <w:jc w:val="both"/>
        <w:rPr>
          <w:rFonts w:ascii="Arial" w:hAnsi="Arial" w:cs="Arial"/>
          <w:sz w:val="20"/>
          <w:szCs w:val="20"/>
        </w:rPr>
      </w:pPr>
      <w:r w:rsidRPr="00F6283D">
        <w:rPr>
          <w:rFonts w:ascii="Arial" w:hAnsi="Arial" w:cs="Arial"/>
          <w:sz w:val="20"/>
          <w:szCs w:val="20"/>
        </w:rPr>
        <w:t xml:space="preserve">Σε συνέχεια της από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Pr="00F6283D">
        <w:rPr>
          <w:rFonts w:ascii="Arial" w:hAnsi="Arial" w:cs="Arial"/>
          <w:sz w:val="20"/>
          <w:szCs w:val="20"/>
        </w:rPr>
        <w:t xml:space="preserve"> ανακοίνωσης της </w:t>
      </w:r>
      <w:r w:rsidR="00270EA5" w:rsidRPr="00270EA5">
        <w:rPr>
          <w:rFonts w:ascii="Arial" w:hAnsi="Arial" w:cs="Arial"/>
          <w:sz w:val="20"/>
          <w:szCs w:val="20"/>
          <w:highlight w:val="yellow"/>
        </w:rPr>
        <w:t>«Επωνυμία</w:t>
      </w:r>
      <w:r w:rsidRPr="00270EA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70EA5" w:rsidRPr="00270EA5">
        <w:rPr>
          <w:rFonts w:ascii="Arial" w:hAnsi="Arial" w:cs="Arial"/>
          <w:sz w:val="20"/>
          <w:szCs w:val="20"/>
          <w:highlight w:val="yellow"/>
        </w:rPr>
        <w:t>Εκδότριας»</w:t>
      </w:r>
      <w:r w:rsidR="00270EA5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 xml:space="preserve">(εφεξής η «Τράπεζα») αναφορικά με τους τελικούς όρους εισαγωγής </w:t>
      </w:r>
      <w:r w:rsidRPr="00F6283D">
        <w:rPr>
          <w:rFonts w:ascii="Arial" w:hAnsi="Arial" w:cs="Arial"/>
          <w:bCs/>
          <w:sz w:val="20"/>
          <w:szCs w:val="20"/>
        </w:rPr>
        <w:t xml:space="preserve">και τα χαρακτηριστικά των Παραστατικών Τίτλων Δικαιωμάτων Κτήσης Μετοχών </w:t>
      </w:r>
      <w:r w:rsidR="000E05D7" w:rsidRPr="00F6283D">
        <w:rPr>
          <w:rFonts w:ascii="Arial" w:hAnsi="Arial" w:cs="Arial"/>
          <w:sz w:val="20"/>
          <w:szCs w:val="20"/>
        </w:rPr>
        <w:t>(εφεξής τα «</w:t>
      </w:r>
      <w:proofErr w:type="spellStart"/>
      <w:r w:rsidR="000E05D7" w:rsidRPr="00F6283D">
        <w:rPr>
          <w:rFonts w:ascii="Arial" w:hAnsi="Arial" w:cs="Arial"/>
          <w:sz w:val="20"/>
          <w:szCs w:val="20"/>
        </w:rPr>
        <w:t>Warrants</w:t>
      </w:r>
      <w:proofErr w:type="spellEnd"/>
      <w:r w:rsidR="000E05D7" w:rsidRPr="00F6283D">
        <w:rPr>
          <w:rFonts w:ascii="Arial" w:hAnsi="Arial" w:cs="Arial"/>
          <w:sz w:val="20"/>
          <w:szCs w:val="20"/>
        </w:rPr>
        <w:t>»)</w:t>
      </w:r>
      <w:r w:rsidR="000E05D7" w:rsidRPr="000E05D7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bCs/>
          <w:sz w:val="20"/>
          <w:szCs w:val="20"/>
        </w:rPr>
        <w:t>που</w:t>
      </w:r>
      <w:r w:rsidRPr="00F6283D">
        <w:rPr>
          <w:rFonts w:ascii="Arial" w:hAnsi="Arial" w:cs="Arial"/>
          <w:sz w:val="20"/>
          <w:szCs w:val="20"/>
        </w:rPr>
        <w:t xml:space="preserve"> εκδόθηκαν σύμφωνα με τα προβλεπόμενα στο ν. 3684/2010 και την Π.Υ.Σ. 38/2012 σε συνδυασμό με την Π.Υ.Σ. 6/2013,</w:t>
      </w:r>
      <w:r w:rsidRPr="00F6283D">
        <w:rPr>
          <w:rFonts w:ascii="Arial" w:hAnsi="Arial" w:cs="Arial"/>
          <w:bCs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 xml:space="preserve">η Τράπεζα ανακοινώνει ότι η ημερομηνία </w:t>
      </w:r>
      <w:proofErr w:type="spellStart"/>
      <w:r w:rsidR="00CE1B11">
        <w:rPr>
          <w:rFonts w:ascii="Arial" w:hAnsi="Arial" w:cs="Arial"/>
          <w:sz w:val="20"/>
          <w:szCs w:val="20"/>
        </w:rPr>
        <w:t>Ν</w:t>
      </w:r>
      <w:r w:rsidRPr="00F6283D">
        <w:rPr>
          <w:rFonts w:ascii="Arial" w:hAnsi="Arial" w:cs="Arial"/>
          <w:sz w:val="20"/>
          <w:szCs w:val="20"/>
          <w:vertAlign w:val="superscript"/>
        </w:rPr>
        <w:t>ης</w:t>
      </w:r>
      <w:proofErr w:type="spellEnd"/>
      <w:r w:rsidRPr="00F628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 xml:space="preserve">άσκησης είναι η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F27960">
        <w:rPr>
          <w:rFonts w:ascii="Arial" w:hAnsi="Arial" w:cs="Arial"/>
          <w:sz w:val="20"/>
          <w:szCs w:val="20"/>
        </w:rPr>
        <w:t xml:space="preserve"> </w:t>
      </w:r>
      <w:r w:rsidR="00F27960" w:rsidRPr="00F6283D">
        <w:rPr>
          <w:rFonts w:ascii="Arial" w:hAnsi="Arial" w:cs="Arial"/>
          <w:sz w:val="20"/>
          <w:szCs w:val="20"/>
        </w:rPr>
        <w:t>(</w:t>
      </w:r>
      <w:r w:rsidR="00F27960">
        <w:rPr>
          <w:rFonts w:ascii="Arial" w:hAnsi="Arial" w:cs="Arial"/>
          <w:sz w:val="20"/>
          <w:szCs w:val="20"/>
        </w:rPr>
        <w:t xml:space="preserve">ημέρα </w:t>
      </w:r>
      <w:r w:rsidR="00F27960" w:rsidRPr="00F6283D">
        <w:rPr>
          <w:rFonts w:ascii="Arial" w:hAnsi="Arial" w:cs="Arial"/>
          <w:sz w:val="20"/>
          <w:szCs w:val="20"/>
        </w:rPr>
        <w:t>Τ)</w:t>
      </w:r>
      <w:r w:rsidRPr="00F6283D">
        <w:rPr>
          <w:rFonts w:ascii="Arial" w:hAnsi="Arial" w:cs="Arial"/>
          <w:sz w:val="20"/>
          <w:szCs w:val="20"/>
        </w:rPr>
        <w:t xml:space="preserve">. Ημερομηνία έναρξης καταχώρησης εντολών συμμετοχής στην άσκηση ορίζεται η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270EA5">
        <w:rPr>
          <w:rFonts w:ascii="Arial" w:hAnsi="Arial" w:cs="Arial"/>
          <w:sz w:val="20"/>
          <w:szCs w:val="20"/>
        </w:rPr>
        <w:t xml:space="preserve"> (</w:t>
      </w:r>
      <w:r w:rsidR="003C0130">
        <w:rPr>
          <w:rFonts w:ascii="Arial" w:hAnsi="Arial" w:cs="Arial"/>
          <w:sz w:val="20"/>
          <w:szCs w:val="20"/>
        </w:rPr>
        <w:t xml:space="preserve">ημέρα </w:t>
      </w:r>
      <w:r w:rsidR="00270EA5">
        <w:rPr>
          <w:rFonts w:ascii="Arial" w:hAnsi="Arial" w:cs="Arial"/>
          <w:sz w:val="20"/>
          <w:szCs w:val="20"/>
        </w:rPr>
        <w:t>Τ-4)</w:t>
      </w:r>
      <w:r w:rsidRPr="00F6283D">
        <w:rPr>
          <w:rFonts w:ascii="Arial" w:hAnsi="Arial" w:cs="Arial"/>
          <w:sz w:val="20"/>
          <w:szCs w:val="20"/>
        </w:rPr>
        <w:t xml:space="preserve">.    </w:t>
      </w: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  <w:r w:rsidRPr="00F6283D">
        <w:rPr>
          <w:rFonts w:ascii="Arial" w:hAnsi="Arial" w:cs="Arial"/>
          <w:sz w:val="20"/>
          <w:szCs w:val="20"/>
        </w:rPr>
        <w:t xml:space="preserve"> </w:t>
      </w: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  <w:r w:rsidRPr="00F6283D">
        <w:rPr>
          <w:rFonts w:ascii="Arial" w:hAnsi="Arial" w:cs="Arial"/>
          <w:sz w:val="20"/>
          <w:szCs w:val="20"/>
        </w:rPr>
        <w:t xml:space="preserve">Στον πίνακα που ακολουθεί παρατίθενται αναλυτικά τα στοιχεία </w:t>
      </w:r>
      <w:proofErr w:type="spellStart"/>
      <w:r w:rsidR="00CE1B11">
        <w:rPr>
          <w:rFonts w:ascii="Arial" w:hAnsi="Arial" w:cs="Arial"/>
          <w:sz w:val="20"/>
          <w:szCs w:val="20"/>
        </w:rPr>
        <w:t>Ν</w:t>
      </w:r>
      <w:r w:rsidRPr="00F6283D">
        <w:rPr>
          <w:rFonts w:ascii="Arial" w:hAnsi="Arial" w:cs="Arial"/>
          <w:sz w:val="20"/>
          <w:szCs w:val="20"/>
          <w:vertAlign w:val="superscript"/>
        </w:rPr>
        <w:t>ης</w:t>
      </w:r>
      <w:proofErr w:type="spellEnd"/>
      <w:r w:rsidRPr="00F6283D">
        <w:rPr>
          <w:rFonts w:ascii="Arial" w:hAnsi="Arial" w:cs="Arial"/>
          <w:sz w:val="20"/>
          <w:szCs w:val="20"/>
        </w:rPr>
        <w:t xml:space="preserve"> άσκησης  των </w:t>
      </w:r>
      <w:r w:rsidRPr="00F6283D">
        <w:rPr>
          <w:rFonts w:ascii="Arial" w:hAnsi="Arial" w:cs="Arial"/>
          <w:sz w:val="20"/>
          <w:szCs w:val="20"/>
          <w:lang w:val="en-GB"/>
        </w:rPr>
        <w:t>Warrants</w:t>
      </w:r>
      <w:r w:rsidRPr="00F6283D">
        <w:rPr>
          <w:rFonts w:ascii="Arial" w:hAnsi="Arial" w:cs="Arial"/>
          <w:sz w:val="20"/>
          <w:szCs w:val="20"/>
        </w:rPr>
        <w:t xml:space="preserve">. </w:t>
      </w: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443"/>
      </w:tblGrid>
      <w:tr w:rsidR="00F6283D" w:rsidRPr="00F6283D" w:rsidTr="001C048F">
        <w:trPr>
          <w:trHeight w:val="470"/>
        </w:trPr>
        <w:tc>
          <w:tcPr>
            <w:tcW w:w="8363" w:type="dxa"/>
            <w:gridSpan w:val="2"/>
            <w:vAlign w:val="center"/>
            <w:hideMark/>
          </w:tcPr>
          <w:p w:rsidR="00F6283D" w:rsidRPr="00F6283D" w:rsidRDefault="00F6283D" w:rsidP="00F628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83D">
              <w:rPr>
                <w:rFonts w:ascii="Arial" w:hAnsi="Arial" w:cs="Arial"/>
                <w:b/>
                <w:bCs/>
                <w:sz w:val="20"/>
                <w:szCs w:val="20"/>
              </w:rPr>
              <w:t>ΣΤΟΙΧΕΙΑ WARRANT</w:t>
            </w:r>
          </w:p>
        </w:tc>
      </w:tr>
      <w:tr w:rsidR="00F6283D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F6283D" w:rsidRPr="00F6283D" w:rsidRDefault="00F6283D" w:rsidP="00394664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 xml:space="preserve">ΑΡΙΘΜΟΣ ΕΚΔΟΘΕΝΤΩΝ WARRANTS </w:t>
            </w:r>
          </w:p>
        </w:tc>
        <w:tc>
          <w:tcPr>
            <w:tcW w:w="2443" w:type="dxa"/>
            <w:vAlign w:val="center"/>
            <w:hideMark/>
          </w:tcPr>
          <w:p w:rsidR="00F6283D" w:rsidRPr="00270EA5" w:rsidRDefault="00270EA5" w:rsidP="00F6283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394664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>ΗΜ/ΝΙΑ ΕΚΔΟΣΗΣ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394664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>ΗΜ/ΝΙΑ ΕΝΑΡΞΗΣ ΚΑΤΑΧΩΡΗΣΗΣ ΕΝΤΟΛΩΝ ΣΥΜΜΕΤΟΧΗΣ (Τ-4)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394664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 xml:space="preserve">ΗΜ/ΝΙΑ </w:t>
            </w:r>
            <w:r w:rsidR="00CE1B11">
              <w:rPr>
                <w:rFonts w:ascii="Arial" w:hAnsi="Arial" w:cs="Arial"/>
                <w:sz w:val="20"/>
                <w:szCs w:val="20"/>
              </w:rPr>
              <w:t>Ν</w:t>
            </w:r>
            <w:r w:rsidRPr="00F6283D">
              <w:rPr>
                <w:rFonts w:ascii="Arial" w:hAnsi="Arial" w:cs="Arial"/>
                <w:sz w:val="20"/>
                <w:szCs w:val="20"/>
                <w:vertAlign w:val="superscript"/>
              </w:rPr>
              <w:t>ΗΣ</w:t>
            </w:r>
            <w:r w:rsidRPr="00F6283D">
              <w:rPr>
                <w:rFonts w:ascii="Arial" w:hAnsi="Arial" w:cs="Arial"/>
                <w:sz w:val="20"/>
                <w:szCs w:val="20"/>
              </w:rPr>
              <w:t xml:space="preserve"> ΑΣΚΗΣΗΣ (Τ)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DC3965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>ΗΜ/ΝΙΑ ΔΙΑΚΑΝΟΝΙΣΜΟΥ ΕΝΤΟΛΩΝ ΣΥΜΜΕΤΟΧΗΣ (</w:t>
            </w:r>
            <w:r w:rsidR="00DC3965">
              <w:rPr>
                <w:rFonts w:ascii="Arial" w:hAnsi="Arial" w:cs="Arial"/>
                <w:sz w:val="20"/>
                <w:szCs w:val="20"/>
                <w:lang w:val="en-US"/>
              </w:rPr>
              <w:t>SD</w:t>
            </w:r>
            <w:r w:rsidR="00DC3965" w:rsidRPr="00DC396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+1 ή 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+2 ή 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</w:t>
            </w:r>
            <w:r w:rsidR="00DC3965" w:rsidRPr="00DC3965">
              <w:rPr>
                <w:rFonts w:ascii="Arial" w:hAnsi="Arial" w:cs="Arial"/>
                <w:sz w:val="20"/>
                <w:szCs w:val="20"/>
                <w:highlight w:val="yellow"/>
              </w:rPr>
              <w:t>+3</w:t>
            </w:r>
            <w:r w:rsidRPr="00F628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DC3965" w:rsidRDefault="00270EA5" w:rsidP="001D198A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>ΗΜ/ΝΙΑ ΔΙΑΚΑΝΟΝΙΣΜΟΥ  ΚΛΑΣΜΑΤΙΚΩΝ ΑΞΙΩΝ</w:t>
            </w:r>
            <w:r w:rsidR="00DC3965" w:rsidRPr="00DC396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C3965">
              <w:rPr>
                <w:rFonts w:ascii="Arial" w:hAnsi="Arial" w:cs="Arial"/>
                <w:sz w:val="20"/>
                <w:szCs w:val="20"/>
                <w:lang w:val="en-US"/>
              </w:rPr>
              <w:t>SD</w:t>
            </w:r>
            <w:r w:rsidR="00DC3965" w:rsidRPr="00DC3965">
              <w:rPr>
                <w:rFonts w:ascii="Arial" w:hAnsi="Arial" w:cs="Arial"/>
                <w:sz w:val="20"/>
                <w:szCs w:val="20"/>
              </w:rPr>
              <w:t>+1)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394664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 xml:space="preserve">ΤΙΜΗ </w:t>
            </w:r>
            <w:r>
              <w:rPr>
                <w:rFonts w:ascii="Arial" w:hAnsi="Arial" w:cs="Arial"/>
                <w:sz w:val="20"/>
                <w:szCs w:val="20"/>
              </w:rPr>
              <w:t xml:space="preserve">ΜΕΤΟΧΗΣ </w:t>
            </w:r>
            <w:r w:rsidR="00D46A8E">
              <w:rPr>
                <w:rFonts w:ascii="Arial" w:hAnsi="Arial" w:cs="Arial"/>
                <w:sz w:val="20"/>
                <w:szCs w:val="20"/>
              </w:rPr>
              <w:t>Ν</w:t>
            </w:r>
            <w:bookmarkStart w:id="0" w:name="_GoBack"/>
            <w:bookmarkEnd w:id="0"/>
            <w:r w:rsidRPr="00F6283D">
              <w:rPr>
                <w:rFonts w:ascii="Arial" w:hAnsi="Arial" w:cs="Arial"/>
                <w:sz w:val="20"/>
                <w:szCs w:val="20"/>
                <w:vertAlign w:val="superscript"/>
              </w:rPr>
              <w:t>ΗΣ</w:t>
            </w:r>
            <w:r w:rsidRPr="00F6283D">
              <w:rPr>
                <w:rFonts w:ascii="Arial" w:hAnsi="Arial" w:cs="Arial"/>
                <w:sz w:val="20"/>
                <w:szCs w:val="20"/>
              </w:rPr>
              <w:t xml:space="preserve"> ΑΣΚΗΣΗΣ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  <w:tr w:rsidR="00270EA5" w:rsidRPr="00F6283D" w:rsidTr="001C048F">
        <w:trPr>
          <w:trHeight w:val="470"/>
        </w:trPr>
        <w:tc>
          <w:tcPr>
            <w:tcW w:w="5920" w:type="dxa"/>
            <w:vAlign w:val="center"/>
            <w:hideMark/>
          </w:tcPr>
          <w:p w:rsidR="00270EA5" w:rsidRPr="00F6283D" w:rsidRDefault="00270EA5" w:rsidP="002F4A2B">
            <w:pPr>
              <w:rPr>
                <w:rFonts w:ascii="Arial" w:hAnsi="Arial" w:cs="Arial"/>
                <w:sz w:val="20"/>
                <w:szCs w:val="20"/>
              </w:rPr>
            </w:pPr>
            <w:r w:rsidRPr="00F6283D">
              <w:rPr>
                <w:rFonts w:ascii="Arial" w:hAnsi="Arial" w:cs="Arial"/>
                <w:sz w:val="20"/>
                <w:szCs w:val="20"/>
              </w:rPr>
              <w:t xml:space="preserve">ΠΟΛΛΑΠΛΑΣΙΑΣΤΗΣ </w:t>
            </w:r>
            <w:r w:rsidRPr="00F6283D">
              <w:rPr>
                <w:rFonts w:ascii="Arial" w:hAnsi="Arial" w:cs="Arial"/>
                <w:sz w:val="20"/>
                <w:szCs w:val="20"/>
              </w:rPr>
              <w:br/>
              <w:t xml:space="preserve">(αριθμός </w:t>
            </w:r>
            <w:r w:rsidR="003F0059" w:rsidRPr="00DC396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υποκείμενων </w:t>
            </w:r>
            <w:r w:rsidR="002F4A2B" w:rsidRPr="00DC3965">
              <w:rPr>
                <w:rFonts w:ascii="Arial" w:hAnsi="Arial" w:cs="Arial"/>
                <w:sz w:val="20"/>
                <w:szCs w:val="20"/>
                <w:highlight w:val="yellow"/>
              </w:rPr>
              <w:t>αξιών</w:t>
            </w:r>
            <w:r w:rsidR="002F4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83D">
              <w:rPr>
                <w:rFonts w:ascii="Arial" w:hAnsi="Arial" w:cs="Arial"/>
                <w:sz w:val="20"/>
                <w:szCs w:val="20"/>
              </w:rPr>
              <w:t xml:space="preserve">που αντιστοιχούν στην άσκηση ενός </w:t>
            </w:r>
            <w:r w:rsidRPr="00F6283D">
              <w:rPr>
                <w:rFonts w:ascii="Arial" w:hAnsi="Arial" w:cs="Arial"/>
                <w:sz w:val="20"/>
                <w:szCs w:val="20"/>
                <w:lang w:val="en-US"/>
              </w:rPr>
              <w:t>warrant</w:t>
            </w:r>
            <w:r w:rsidRPr="00F628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3" w:type="dxa"/>
            <w:vAlign w:val="center"/>
            <w:hideMark/>
          </w:tcPr>
          <w:p w:rsidR="00270EA5" w:rsidRPr="00270EA5" w:rsidRDefault="00270EA5" w:rsidP="003E3F4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EA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…</w:t>
            </w:r>
          </w:p>
        </w:tc>
      </w:tr>
    </w:tbl>
    <w:p w:rsidR="00F6283D" w:rsidRPr="00F6283D" w:rsidRDefault="00F6283D" w:rsidP="00F6283D">
      <w:pPr>
        <w:jc w:val="both"/>
        <w:rPr>
          <w:rFonts w:ascii="Arial" w:hAnsi="Arial" w:cs="Arial"/>
          <w:i/>
          <w:sz w:val="20"/>
          <w:szCs w:val="20"/>
        </w:rPr>
      </w:pP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  <w:u w:val="single"/>
        </w:rPr>
      </w:pPr>
      <w:r w:rsidRPr="00F6283D">
        <w:rPr>
          <w:rFonts w:ascii="Arial" w:hAnsi="Arial" w:cs="Arial"/>
          <w:sz w:val="20"/>
          <w:szCs w:val="20"/>
          <w:u w:val="single"/>
        </w:rPr>
        <w:t xml:space="preserve">Διαδικασία Άσκησης των </w:t>
      </w:r>
      <w:r w:rsidRPr="00F6283D">
        <w:rPr>
          <w:rFonts w:ascii="Arial" w:hAnsi="Arial" w:cs="Arial"/>
          <w:sz w:val="20"/>
          <w:szCs w:val="20"/>
          <w:u w:val="single"/>
          <w:lang w:val="en-US"/>
        </w:rPr>
        <w:t>Warrants</w:t>
      </w:r>
    </w:p>
    <w:p w:rsidR="00222A81" w:rsidRDefault="00F6283D" w:rsidP="00F6283D">
      <w:pPr>
        <w:jc w:val="both"/>
        <w:rPr>
          <w:rFonts w:ascii="Arial" w:hAnsi="Arial" w:cs="Arial"/>
          <w:sz w:val="20"/>
          <w:szCs w:val="20"/>
        </w:rPr>
      </w:pPr>
      <w:r w:rsidRPr="00F6283D">
        <w:rPr>
          <w:rFonts w:ascii="Arial" w:hAnsi="Arial" w:cs="Arial"/>
          <w:sz w:val="20"/>
          <w:szCs w:val="20"/>
        </w:rPr>
        <w:t xml:space="preserve">Διευκρινίζεται ότι οι </w:t>
      </w:r>
      <w:r w:rsidR="00457FAC">
        <w:rPr>
          <w:rFonts w:ascii="Arial" w:hAnsi="Arial" w:cs="Arial"/>
          <w:sz w:val="20"/>
          <w:szCs w:val="20"/>
        </w:rPr>
        <w:t>Ε</w:t>
      </w:r>
      <w:r w:rsidR="00457FAC" w:rsidRPr="00F6283D">
        <w:rPr>
          <w:rFonts w:ascii="Arial" w:hAnsi="Arial" w:cs="Arial"/>
          <w:sz w:val="20"/>
          <w:szCs w:val="20"/>
        </w:rPr>
        <w:t xml:space="preserve">πενδυτές </w:t>
      </w:r>
      <w:r w:rsidRPr="00F6283D">
        <w:rPr>
          <w:rFonts w:ascii="Arial" w:hAnsi="Arial" w:cs="Arial"/>
          <w:sz w:val="20"/>
          <w:szCs w:val="20"/>
        </w:rPr>
        <w:t xml:space="preserve">πρέπει να </w:t>
      </w:r>
      <w:r w:rsidR="001C048F">
        <w:rPr>
          <w:rFonts w:ascii="Arial" w:hAnsi="Arial" w:cs="Arial"/>
          <w:sz w:val="20"/>
          <w:szCs w:val="20"/>
        </w:rPr>
        <w:t>απευθ</w:t>
      </w:r>
      <w:r w:rsidR="00C56801">
        <w:rPr>
          <w:rFonts w:ascii="Arial" w:hAnsi="Arial" w:cs="Arial"/>
          <w:sz w:val="20"/>
          <w:szCs w:val="20"/>
        </w:rPr>
        <w:t>υ</w:t>
      </w:r>
      <w:r w:rsidR="001C048F">
        <w:rPr>
          <w:rFonts w:ascii="Arial" w:hAnsi="Arial" w:cs="Arial"/>
          <w:sz w:val="20"/>
          <w:szCs w:val="20"/>
        </w:rPr>
        <w:t xml:space="preserve">νθούν στο Χειριστή του Λογαριασμού τους στο Σύστημα </w:t>
      </w:r>
      <w:r w:rsidR="00FE7819">
        <w:rPr>
          <w:rFonts w:ascii="Arial" w:hAnsi="Arial" w:cs="Arial"/>
          <w:sz w:val="20"/>
          <w:szCs w:val="20"/>
        </w:rPr>
        <w:t>Άυλων</w:t>
      </w:r>
      <w:r w:rsidR="001C048F">
        <w:rPr>
          <w:rFonts w:ascii="Arial" w:hAnsi="Arial" w:cs="Arial"/>
          <w:sz w:val="20"/>
          <w:szCs w:val="20"/>
        </w:rPr>
        <w:t xml:space="preserve"> Τίτλων </w:t>
      </w:r>
      <w:r w:rsidR="00457FAC">
        <w:rPr>
          <w:rFonts w:ascii="Arial" w:hAnsi="Arial" w:cs="Arial"/>
          <w:sz w:val="20"/>
          <w:szCs w:val="20"/>
        </w:rPr>
        <w:t>(</w:t>
      </w:r>
      <w:r w:rsidR="001C048F">
        <w:rPr>
          <w:rFonts w:ascii="Arial" w:hAnsi="Arial" w:cs="Arial"/>
          <w:sz w:val="20"/>
          <w:szCs w:val="20"/>
        </w:rPr>
        <w:t>Σ.Α.Τ.) και να δώσουν</w:t>
      </w:r>
      <w:r w:rsidRPr="00F6283D">
        <w:rPr>
          <w:rFonts w:ascii="Arial" w:hAnsi="Arial" w:cs="Arial"/>
          <w:sz w:val="20"/>
          <w:szCs w:val="20"/>
        </w:rPr>
        <w:t xml:space="preserve"> τις εντολές άσκησης των </w:t>
      </w:r>
      <w:proofErr w:type="spellStart"/>
      <w:r w:rsidRPr="00F6283D">
        <w:rPr>
          <w:rFonts w:ascii="Arial" w:hAnsi="Arial" w:cs="Arial"/>
          <w:sz w:val="20"/>
          <w:szCs w:val="20"/>
        </w:rPr>
        <w:t>Warrants</w:t>
      </w:r>
      <w:proofErr w:type="spellEnd"/>
      <w:r w:rsidRPr="00F6283D">
        <w:rPr>
          <w:rFonts w:ascii="Arial" w:hAnsi="Arial" w:cs="Arial"/>
          <w:sz w:val="20"/>
          <w:szCs w:val="20"/>
        </w:rPr>
        <w:t xml:space="preserve"> από την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261BCC">
        <w:rPr>
          <w:rFonts w:ascii="Arial" w:hAnsi="Arial" w:cs="Arial"/>
          <w:sz w:val="20"/>
          <w:szCs w:val="20"/>
        </w:rPr>
        <w:t xml:space="preserve"> (ημέρα </w:t>
      </w:r>
      <w:r w:rsidR="00261BCC" w:rsidRPr="00261BCC">
        <w:rPr>
          <w:rFonts w:ascii="Arial" w:hAnsi="Arial" w:cs="Arial"/>
          <w:b/>
          <w:sz w:val="20"/>
          <w:szCs w:val="20"/>
        </w:rPr>
        <w:t>Τ-4</w:t>
      </w:r>
      <w:r w:rsidR="00261BCC">
        <w:rPr>
          <w:rFonts w:ascii="Arial" w:hAnsi="Arial" w:cs="Arial"/>
          <w:sz w:val="20"/>
          <w:szCs w:val="20"/>
        </w:rPr>
        <w:t>)</w:t>
      </w:r>
      <w:r w:rsidR="00261BCC" w:rsidRPr="00261BCC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 xml:space="preserve">έως </w:t>
      </w:r>
      <w:r w:rsidR="00FE7819">
        <w:rPr>
          <w:rFonts w:ascii="Arial" w:hAnsi="Arial" w:cs="Arial"/>
          <w:sz w:val="20"/>
          <w:szCs w:val="20"/>
        </w:rPr>
        <w:t xml:space="preserve">και </w:t>
      </w:r>
      <w:r w:rsidRPr="00F6283D">
        <w:rPr>
          <w:rFonts w:ascii="Arial" w:hAnsi="Arial" w:cs="Arial"/>
          <w:sz w:val="20"/>
          <w:szCs w:val="20"/>
        </w:rPr>
        <w:t xml:space="preserve">την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261BCC" w:rsidRPr="00F6283D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>(</w:t>
      </w:r>
      <w:r w:rsidR="00FE7819">
        <w:rPr>
          <w:rFonts w:ascii="Arial" w:hAnsi="Arial" w:cs="Arial"/>
          <w:sz w:val="20"/>
          <w:szCs w:val="20"/>
        </w:rPr>
        <w:t xml:space="preserve">ημέρα </w:t>
      </w:r>
      <w:r w:rsidRPr="00261BCC">
        <w:rPr>
          <w:rFonts w:ascii="Arial" w:hAnsi="Arial" w:cs="Arial"/>
          <w:b/>
          <w:sz w:val="20"/>
          <w:szCs w:val="20"/>
        </w:rPr>
        <w:t>Τ</w:t>
      </w:r>
      <w:r w:rsidRPr="00F6283D">
        <w:rPr>
          <w:rFonts w:ascii="Arial" w:hAnsi="Arial" w:cs="Arial"/>
          <w:sz w:val="20"/>
          <w:szCs w:val="20"/>
        </w:rPr>
        <w:t>).</w:t>
      </w:r>
      <w:r w:rsidR="00FE7819" w:rsidRPr="008820E8">
        <w:rPr>
          <w:rFonts w:ascii="Arial" w:hAnsi="Arial" w:cs="Arial"/>
          <w:sz w:val="20"/>
          <w:szCs w:val="20"/>
        </w:rPr>
        <w:t xml:space="preserve"> </w:t>
      </w:r>
      <w:r w:rsidR="00445FCC">
        <w:rPr>
          <w:rFonts w:ascii="Arial" w:hAnsi="Arial" w:cs="Arial"/>
          <w:sz w:val="20"/>
          <w:szCs w:val="20"/>
        </w:rPr>
        <w:t xml:space="preserve">Η ποσότητα των προς άσκηση </w:t>
      </w:r>
      <w:r w:rsidR="00457FAC">
        <w:rPr>
          <w:rFonts w:ascii="Arial" w:hAnsi="Arial" w:cs="Arial"/>
          <w:sz w:val="20"/>
          <w:szCs w:val="20"/>
          <w:lang w:val="en-US"/>
        </w:rPr>
        <w:t>W</w:t>
      </w:r>
      <w:r w:rsidR="00445FCC">
        <w:rPr>
          <w:rFonts w:ascii="Arial" w:hAnsi="Arial" w:cs="Arial"/>
          <w:sz w:val="20"/>
          <w:szCs w:val="20"/>
          <w:lang w:val="en-US"/>
        </w:rPr>
        <w:t>arrants</w:t>
      </w:r>
      <w:r w:rsidR="00445FCC" w:rsidRPr="00445FCC">
        <w:rPr>
          <w:rFonts w:ascii="Arial" w:hAnsi="Arial" w:cs="Arial"/>
          <w:sz w:val="20"/>
          <w:szCs w:val="20"/>
        </w:rPr>
        <w:t xml:space="preserve"> </w:t>
      </w:r>
      <w:r w:rsidR="00445FCC">
        <w:rPr>
          <w:rFonts w:ascii="Arial" w:hAnsi="Arial" w:cs="Arial"/>
          <w:sz w:val="20"/>
          <w:szCs w:val="20"/>
        </w:rPr>
        <w:t>θα πρέπει να είναι ελεύθερα διαθέσιμη</w:t>
      </w:r>
      <w:r w:rsidR="00FE7819">
        <w:rPr>
          <w:rFonts w:ascii="Arial" w:hAnsi="Arial" w:cs="Arial"/>
          <w:sz w:val="20"/>
          <w:szCs w:val="20"/>
        </w:rPr>
        <w:t xml:space="preserve"> στο Λογαριασμό του Επενδυτή</w:t>
      </w:r>
      <w:r w:rsidR="00457FAC">
        <w:rPr>
          <w:rFonts w:ascii="Arial" w:hAnsi="Arial" w:cs="Arial"/>
          <w:sz w:val="20"/>
          <w:szCs w:val="20"/>
        </w:rPr>
        <w:t>, ενώ μ</w:t>
      </w:r>
      <w:r w:rsidR="00445FCC">
        <w:rPr>
          <w:rFonts w:ascii="Arial" w:hAnsi="Arial" w:cs="Arial"/>
          <w:sz w:val="20"/>
          <w:szCs w:val="20"/>
        </w:rPr>
        <w:t xml:space="preserve">ε την καταχώρηση της εντολής </w:t>
      </w:r>
      <w:r w:rsidR="00457FAC">
        <w:rPr>
          <w:rFonts w:ascii="Arial" w:hAnsi="Arial" w:cs="Arial"/>
          <w:sz w:val="20"/>
          <w:szCs w:val="20"/>
        </w:rPr>
        <w:t>άσκησης</w:t>
      </w:r>
      <w:r w:rsidR="00445FCC">
        <w:rPr>
          <w:rFonts w:ascii="Arial" w:hAnsi="Arial" w:cs="Arial"/>
          <w:sz w:val="20"/>
          <w:szCs w:val="20"/>
        </w:rPr>
        <w:t xml:space="preserve"> </w:t>
      </w:r>
      <w:r w:rsidR="0042028C">
        <w:rPr>
          <w:rFonts w:ascii="Arial" w:hAnsi="Arial" w:cs="Arial"/>
          <w:sz w:val="20"/>
          <w:szCs w:val="20"/>
        </w:rPr>
        <w:t xml:space="preserve">από το Χειριστή στο Σ.Α.Τ. </w:t>
      </w:r>
      <w:r w:rsidR="00445FCC">
        <w:rPr>
          <w:rFonts w:ascii="Arial" w:hAnsi="Arial" w:cs="Arial"/>
          <w:sz w:val="20"/>
          <w:szCs w:val="20"/>
        </w:rPr>
        <w:t xml:space="preserve">αυτή </w:t>
      </w:r>
      <w:r w:rsidR="00C56801">
        <w:rPr>
          <w:rFonts w:ascii="Arial" w:hAnsi="Arial" w:cs="Arial"/>
          <w:sz w:val="20"/>
          <w:szCs w:val="20"/>
        </w:rPr>
        <w:t xml:space="preserve">η ποσότητα </w:t>
      </w:r>
      <w:r w:rsidR="00445FCC">
        <w:rPr>
          <w:rFonts w:ascii="Arial" w:hAnsi="Arial" w:cs="Arial"/>
          <w:sz w:val="20"/>
          <w:szCs w:val="20"/>
        </w:rPr>
        <w:t xml:space="preserve">δεσμεύεται για τους σκοπούς της </w:t>
      </w:r>
      <w:r w:rsidR="00457FAC">
        <w:rPr>
          <w:rFonts w:ascii="Arial" w:hAnsi="Arial" w:cs="Arial"/>
          <w:sz w:val="20"/>
          <w:szCs w:val="20"/>
        </w:rPr>
        <w:t>διαδικασίας</w:t>
      </w:r>
      <w:r w:rsidR="00445FCC">
        <w:rPr>
          <w:rFonts w:ascii="Arial" w:hAnsi="Arial" w:cs="Arial"/>
          <w:sz w:val="20"/>
          <w:szCs w:val="20"/>
        </w:rPr>
        <w:t xml:space="preserve">. Μια εντολή </w:t>
      </w:r>
      <w:r w:rsidR="00457FAC">
        <w:rPr>
          <w:rFonts w:ascii="Arial" w:hAnsi="Arial" w:cs="Arial"/>
          <w:sz w:val="20"/>
          <w:szCs w:val="20"/>
        </w:rPr>
        <w:t xml:space="preserve">άσκησης </w:t>
      </w:r>
      <w:r w:rsidR="00FE7819">
        <w:rPr>
          <w:rFonts w:ascii="Arial" w:hAnsi="Arial" w:cs="Arial"/>
          <w:sz w:val="20"/>
          <w:szCs w:val="20"/>
          <w:lang w:val="en-US"/>
        </w:rPr>
        <w:t>Warrants</w:t>
      </w:r>
      <w:r w:rsidR="00FE7819" w:rsidRPr="008820E8">
        <w:rPr>
          <w:rFonts w:ascii="Arial" w:hAnsi="Arial" w:cs="Arial"/>
          <w:sz w:val="20"/>
          <w:szCs w:val="20"/>
        </w:rPr>
        <w:t xml:space="preserve"> </w:t>
      </w:r>
      <w:r w:rsidR="00445FCC">
        <w:rPr>
          <w:rFonts w:ascii="Arial" w:hAnsi="Arial" w:cs="Arial"/>
          <w:sz w:val="20"/>
          <w:szCs w:val="20"/>
        </w:rPr>
        <w:t xml:space="preserve">δύναται να ακυρωθεί με εντολή που θα δώσει ο </w:t>
      </w:r>
      <w:r w:rsidR="00457FAC">
        <w:rPr>
          <w:rFonts w:ascii="Arial" w:hAnsi="Arial" w:cs="Arial"/>
          <w:sz w:val="20"/>
          <w:szCs w:val="20"/>
        </w:rPr>
        <w:t>Ε</w:t>
      </w:r>
      <w:r w:rsidR="00445FCC">
        <w:rPr>
          <w:rFonts w:ascii="Arial" w:hAnsi="Arial" w:cs="Arial"/>
          <w:sz w:val="20"/>
          <w:szCs w:val="20"/>
        </w:rPr>
        <w:t>πενδυτής στο Χειριστή του</w:t>
      </w:r>
      <w:r w:rsidR="00C56801">
        <w:rPr>
          <w:rFonts w:ascii="Arial" w:hAnsi="Arial" w:cs="Arial"/>
          <w:sz w:val="20"/>
          <w:szCs w:val="20"/>
        </w:rPr>
        <w:t xml:space="preserve"> έως </w:t>
      </w:r>
      <w:r w:rsidR="00FE7819">
        <w:rPr>
          <w:rFonts w:ascii="Arial" w:hAnsi="Arial" w:cs="Arial"/>
          <w:sz w:val="20"/>
          <w:szCs w:val="20"/>
        </w:rPr>
        <w:t xml:space="preserve">και </w:t>
      </w:r>
      <w:r w:rsidR="00C56801">
        <w:rPr>
          <w:rFonts w:ascii="Arial" w:hAnsi="Arial" w:cs="Arial"/>
          <w:sz w:val="20"/>
          <w:szCs w:val="20"/>
        </w:rPr>
        <w:t xml:space="preserve">την </w:t>
      </w:r>
      <w:r w:rsidR="00FE7819">
        <w:rPr>
          <w:rFonts w:ascii="Arial" w:hAnsi="Arial" w:cs="Arial"/>
          <w:sz w:val="20"/>
          <w:szCs w:val="20"/>
        </w:rPr>
        <w:t>ημέρα Τ</w:t>
      </w:r>
      <w:r w:rsidR="00C56801">
        <w:rPr>
          <w:rFonts w:ascii="Arial" w:hAnsi="Arial" w:cs="Arial"/>
          <w:sz w:val="20"/>
          <w:szCs w:val="20"/>
        </w:rPr>
        <w:t>.</w:t>
      </w:r>
      <w:r w:rsidR="00FE7819">
        <w:rPr>
          <w:rFonts w:ascii="Arial" w:hAnsi="Arial" w:cs="Arial"/>
          <w:sz w:val="20"/>
          <w:szCs w:val="20"/>
        </w:rPr>
        <w:t xml:space="preserve"> </w:t>
      </w:r>
    </w:p>
    <w:p w:rsidR="00222A81" w:rsidRPr="00116E2E" w:rsidRDefault="00222A81" w:rsidP="00222A81">
      <w:pPr>
        <w:jc w:val="both"/>
        <w:rPr>
          <w:rFonts w:ascii="Arial" w:hAnsi="Arial" w:cs="Arial"/>
          <w:sz w:val="20"/>
          <w:szCs w:val="20"/>
        </w:rPr>
      </w:pPr>
      <w:r w:rsidRPr="00E566FE">
        <w:rPr>
          <w:rFonts w:ascii="Arial" w:hAnsi="Arial" w:cs="Arial"/>
          <w:sz w:val="20"/>
          <w:szCs w:val="20"/>
        </w:rPr>
        <w:t xml:space="preserve">Σημειώνεται ότι η </w:t>
      </w:r>
      <w:r>
        <w:rPr>
          <w:rFonts w:ascii="Arial" w:hAnsi="Arial" w:cs="Arial"/>
          <w:sz w:val="20"/>
          <w:szCs w:val="20"/>
        </w:rPr>
        <w:t xml:space="preserve">έναρξη διαδικασίας άσκησης των </w:t>
      </w:r>
      <w:r>
        <w:rPr>
          <w:rFonts w:ascii="Arial" w:hAnsi="Arial" w:cs="Arial"/>
          <w:sz w:val="20"/>
          <w:szCs w:val="20"/>
          <w:lang w:val="en-US"/>
        </w:rPr>
        <w:t>warrants</w:t>
      </w:r>
      <w:r w:rsidRPr="00F11C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δεν συνεπάγεται αναστολή </w:t>
      </w:r>
      <w:r w:rsidRPr="00E566FE">
        <w:rPr>
          <w:rFonts w:ascii="Arial" w:hAnsi="Arial" w:cs="Arial"/>
          <w:sz w:val="20"/>
          <w:szCs w:val="20"/>
        </w:rPr>
        <w:t>διαπραγμάτευ</w:t>
      </w:r>
      <w:r>
        <w:rPr>
          <w:rFonts w:ascii="Arial" w:hAnsi="Arial" w:cs="Arial"/>
          <w:sz w:val="20"/>
          <w:szCs w:val="20"/>
        </w:rPr>
        <w:t>σής τους</w:t>
      </w:r>
      <w:r w:rsidRPr="00E566FE">
        <w:rPr>
          <w:rFonts w:ascii="Arial" w:hAnsi="Arial" w:cs="Arial"/>
          <w:sz w:val="20"/>
          <w:szCs w:val="20"/>
        </w:rPr>
        <w:t xml:space="preserve"> στην Αγορά Αξιών </w:t>
      </w:r>
      <w:r>
        <w:rPr>
          <w:rFonts w:ascii="Arial" w:hAnsi="Arial" w:cs="Arial"/>
          <w:sz w:val="20"/>
          <w:szCs w:val="20"/>
        </w:rPr>
        <w:t>του Χρηματιστηρίου Αθηνών (</w:t>
      </w:r>
      <w:r w:rsidRPr="00E566FE">
        <w:rPr>
          <w:rFonts w:ascii="Arial" w:hAnsi="Arial" w:cs="Arial"/>
          <w:sz w:val="20"/>
          <w:szCs w:val="20"/>
        </w:rPr>
        <w:t>Χ.Α.</w:t>
      </w:r>
      <w:r>
        <w:rPr>
          <w:rFonts w:ascii="Arial" w:hAnsi="Arial" w:cs="Arial"/>
          <w:sz w:val="20"/>
          <w:szCs w:val="20"/>
        </w:rPr>
        <w:t>)</w:t>
      </w:r>
      <w:r w:rsidRPr="00E566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22A81" w:rsidRDefault="00222A81" w:rsidP="00F6283D">
      <w:pPr>
        <w:jc w:val="both"/>
        <w:rPr>
          <w:rFonts w:ascii="Arial" w:hAnsi="Arial" w:cs="Arial"/>
          <w:sz w:val="20"/>
          <w:szCs w:val="20"/>
        </w:rPr>
      </w:pPr>
    </w:p>
    <w:p w:rsidR="00EC4793" w:rsidRDefault="00EC479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FE7819" w:rsidRDefault="00FE7819" w:rsidP="00F6283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2028C" w:rsidRPr="008820E8" w:rsidRDefault="00527268" w:rsidP="00F6283D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Πίστωση μετοχών</w:t>
      </w: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  <w:r w:rsidRPr="00F6283D">
        <w:rPr>
          <w:rFonts w:ascii="Arial" w:hAnsi="Arial" w:cs="Arial"/>
          <w:sz w:val="20"/>
          <w:szCs w:val="20"/>
        </w:rPr>
        <w:t xml:space="preserve">Ο διακανονισμός των εντολών άσκησης </w:t>
      </w:r>
      <w:proofErr w:type="spellStart"/>
      <w:r w:rsidRPr="00F6283D">
        <w:rPr>
          <w:rFonts w:ascii="Arial" w:hAnsi="Arial" w:cs="Arial"/>
          <w:sz w:val="20"/>
          <w:szCs w:val="20"/>
        </w:rPr>
        <w:t>Warrants</w:t>
      </w:r>
      <w:proofErr w:type="spellEnd"/>
      <w:r w:rsidR="0042028C" w:rsidRPr="0042028C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 xml:space="preserve">που καταχωρήθηκαν στο Σ.Α.Τ. έως </w:t>
      </w:r>
      <w:r w:rsidR="00FE7819">
        <w:rPr>
          <w:rFonts w:ascii="Arial" w:hAnsi="Arial" w:cs="Arial"/>
          <w:sz w:val="20"/>
          <w:szCs w:val="20"/>
        </w:rPr>
        <w:t xml:space="preserve">και </w:t>
      </w:r>
      <w:r w:rsidRPr="00F6283D">
        <w:rPr>
          <w:rFonts w:ascii="Arial" w:hAnsi="Arial" w:cs="Arial"/>
          <w:sz w:val="20"/>
          <w:szCs w:val="20"/>
        </w:rPr>
        <w:t xml:space="preserve">την ημέρα </w:t>
      </w:r>
      <w:r w:rsidR="0042028C">
        <w:rPr>
          <w:rFonts w:ascii="Arial" w:hAnsi="Arial" w:cs="Arial"/>
          <w:sz w:val="20"/>
          <w:szCs w:val="20"/>
        </w:rPr>
        <w:t>Τ,</w:t>
      </w:r>
      <w:r w:rsidR="0042028C" w:rsidRPr="0042028C">
        <w:rPr>
          <w:rFonts w:ascii="Arial" w:hAnsi="Arial" w:cs="Arial"/>
          <w:sz w:val="20"/>
          <w:szCs w:val="20"/>
        </w:rPr>
        <w:t xml:space="preserve"> </w:t>
      </w:r>
      <w:r w:rsidR="0042028C">
        <w:rPr>
          <w:rFonts w:ascii="Arial" w:hAnsi="Arial" w:cs="Arial"/>
          <w:sz w:val="20"/>
          <w:szCs w:val="20"/>
        </w:rPr>
        <w:t xml:space="preserve">δηλαδή η πίστωση των μετοχών που αντιστοιχούν στην άσκηση έναντι του </w:t>
      </w:r>
      <w:r w:rsidR="000E4C04">
        <w:rPr>
          <w:rFonts w:ascii="Arial" w:hAnsi="Arial" w:cs="Arial"/>
          <w:sz w:val="20"/>
          <w:szCs w:val="20"/>
        </w:rPr>
        <w:t xml:space="preserve">αναλογούντος </w:t>
      </w:r>
      <w:r w:rsidR="0042028C">
        <w:rPr>
          <w:rFonts w:ascii="Arial" w:hAnsi="Arial" w:cs="Arial"/>
          <w:sz w:val="20"/>
          <w:szCs w:val="20"/>
        </w:rPr>
        <w:t>καταβληθέντος τιμήματος</w:t>
      </w:r>
      <w:r w:rsidRPr="00F6283D">
        <w:rPr>
          <w:rFonts w:ascii="Arial" w:hAnsi="Arial" w:cs="Arial"/>
          <w:sz w:val="20"/>
          <w:szCs w:val="20"/>
        </w:rPr>
        <w:t xml:space="preserve">, θα γίνει την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261BCC">
        <w:rPr>
          <w:rFonts w:ascii="Arial" w:hAnsi="Arial" w:cs="Arial"/>
          <w:sz w:val="20"/>
          <w:szCs w:val="20"/>
        </w:rPr>
        <w:t xml:space="preserve"> </w:t>
      </w:r>
      <w:r w:rsidRPr="00F6283D">
        <w:rPr>
          <w:rFonts w:ascii="Arial" w:hAnsi="Arial" w:cs="Arial"/>
          <w:sz w:val="20"/>
          <w:szCs w:val="20"/>
        </w:rPr>
        <w:t>(</w:t>
      </w:r>
      <w:r w:rsidR="00FE7819">
        <w:rPr>
          <w:rFonts w:ascii="Arial" w:hAnsi="Arial" w:cs="Arial"/>
          <w:sz w:val="20"/>
          <w:szCs w:val="20"/>
        </w:rPr>
        <w:t xml:space="preserve">ημέρα </w:t>
      </w:r>
      <w:r w:rsidR="00261BCC">
        <w:rPr>
          <w:rFonts w:ascii="Arial" w:hAnsi="Arial" w:cs="Arial"/>
          <w:b/>
          <w:sz w:val="20"/>
          <w:szCs w:val="20"/>
          <w:lang w:val="en-US"/>
        </w:rPr>
        <w:t>SD</w:t>
      </w:r>
      <w:r w:rsidR="00261BCC" w:rsidRPr="00261BCC">
        <w:rPr>
          <w:rFonts w:ascii="Arial" w:hAnsi="Arial" w:cs="Arial"/>
          <w:b/>
          <w:sz w:val="20"/>
          <w:szCs w:val="20"/>
        </w:rPr>
        <w:t xml:space="preserve"> = 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  <w:lang w:val="en-US"/>
        </w:rPr>
        <w:t>T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</w:rPr>
        <w:t xml:space="preserve">+1 </w:t>
      </w:r>
      <w:r w:rsidR="00261BCC" w:rsidRPr="00DC3965">
        <w:rPr>
          <w:rFonts w:ascii="Arial" w:hAnsi="Arial" w:cs="Arial"/>
          <w:sz w:val="20"/>
          <w:szCs w:val="20"/>
          <w:highlight w:val="yellow"/>
        </w:rPr>
        <w:t xml:space="preserve">ή 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  <w:lang w:val="en-US"/>
        </w:rPr>
        <w:t>T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</w:rPr>
        <w:t xml:space="preserve">+2 </w:t>
      </w:r>
      <w:r w:rsidR="00261BCC" w:rsidRPr="00DC3965">
        <w:rPr>
          <w:rFonts w:ascii="Arial" w:hAnsi="Arial" w:cs="Arial"/>
          <w:sz w:val="20"/>
          <w:szCs w:val="20"/>
          <w:highlight w:val="yellow"/>
        </w:rPr>
        <w:t>ή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  <w:lang w:val="en-US"/>
        </w:rPr>
        <w:t>T</w:t>
      </w:r>
      <w:r w:rsidR="00261BCC" w:rsidRPr="00DC3965">
        <w:rPr>
          <w:rFonts w:ascii="Arial" w:hAnsi="Arial" w:cs="Arial"/>
          <w:b/>
          <w:sz w:val="20"/>
          <w:szCs w:val="20"/>
          <w:highlight w:val="yellow"/>
        </w:rPr>
        <w:t>+3</w:t>
      </w:r>
      <w:r w:rsidRPr="00F6283D">
        <w:rPr>
          <w:rFonts w:ascii="Arial" w:hAnsi="Arial" w:cs="Arial"/>
          <w:sz w:val="20"/>
          <w:szCs w:val="20"/>
        </w:rPr>
        <w:t>)</w:t>
      </w:r>
      <w:r w:rsidR="00FE7819">
        <w:rPr>
          <w:rFonts w:ascii="Arial" w:hAnsi="Arial" w:cs="Arial"/>
          <w:sz w:val="20"/>
          <w:szCs w:val="20"/>
        </w:rPr>
        <w:t>.</w:t>
      </w:r>
      <w:r w:rsidR="00CA4012">
        <w:rPr>
          <w:rFonts w:ascii="Arial" w:hAnsi="Arial" w:cs="Arial"/>
          <w:sz w:val="20"/>
          <w:szCs w:val="20"/>
        </w:rPr>
        <w:t xml:space="preserve"> </w:t>
      </w:r>
      <w:r w:rsidR="00FE7819">
        <w:rPr>
          <w:rFonts w:ascii="Arial" w:hAnsi="Arial" w:cs="Arial"/>
          <w:sz w:val="20"/>
          <w:szCs w:val="20"/>
        </w:rPr>
        <w:t>Η πίστωση</w:t>
      </w:r>
      <w:r w:rsidR="00FE7819" w:rsidRPr="003C67D7">
        <w:rPr>
          <w:rFonts w:ascii="Arial" w:hAnsi="Arial" w:cs="Arial"/>
          <w:sz w:val="20"/>
          <w:szCs w:val="20"/>
        </w:rPr>
        <w:t xml:space="preserve"> τυχόν κλασματικ</w:t>
      </w:r>
      <w:r w:rsidR="00FE7819">
        <w:rPr>
          <w:rFonts w:ascii="Arial" w:hAnsi="Arial" w:cs="Arial"/>
          <w:sz w:val="20"/>
          <w:szCs w:val="20"/>
        </w:rPr>
        <w:t>ών</w:t>
      </w:r>
      <w:r w:rsidR="00FE7819" w:rsidRPr="008820E8">
        <w:rPr>
          <w:rFonts w:ascii="Arial" w:hAnsi="Arial" w:cs="Arial"/>
          <w:sz w:val="20"/>
          <w:szCs w:val="20"/>
        </w:rPr>
        <w:t xml:space="preserve"> μετο</w:t>
      </w:r>
      <w:r w:rsidR="00FE7819" w:rsidRPr="003C67D7">
        <w:rPr>
          <w:rFonts w:ascii="Arial" w:hAnsi="Arial" w:cs="Arial"/>
          <w:sz w:val="20"/>
          <w:szCs w:val="20"/>
        </w:rPr>
        <w:t>χ</w:t>
      </w:r>
      <w:r w:rsidR="00FE7819">
        <w:rPr>
          <w:rFonts w:ascii="Arial" w:hAnsi="Arial" w:cs="Arial"/>
          <w:sz w:val="20"/>
          <w:szCs w:val="20"/>
        </w:rPr>
        <w:t>ών</w:t>
      </w:r>
      <w:r w:rsidR="003C67D7">
        <w:rPr>
          <w:rFonts w:ascii="Arial" w:hAnsi="Arial" w:cs="Arial"/>
          <w:sz w:val="20"/>
          <w:szCs w:val="20"/>
        </w:rPr>
        <w:t>,</w:t>
      </w:r>
      <w:r w:rsidR="00FE7819" w:rsidRPr="008820E8">
        <w:rPr>
          <w:rFonts w:ascii="Arial" w:hAnsi="Arial" w:cs="Arial"/>
          <w:sz w:val="20"/>
          <w:szCs w:val="20"/>
        </w:rPr>
        <w:t xml:space="preserve"> </w:t>
      </w:r>
      <w:r w:rsidR="003C67D7">
        <w:rPr>
          <w:rFonts w:ascii="Arial" w:hAnsi="Arial" w:cs="Arial"/>
          <w:sz w:val="20"/>
          <w:szCs w:val="20"/>
        </w:rPr>
        <w:t xml:space="preserve">κατ’ εφαρμογή των σχετικών διατάξεων της παρ. 4 του άρθρου 3 της Πράξης Υπουργικού Συμβουλίου Αρ. 38/19.11.2012 (ΦΕΚ Α’ 223) και </w:t>
      </w:r>
      <w:r w:rsidR="003C67D7" w:rsidRPr="00865427">
        <w:rPr>
          <w:rFonts w:ascii="Arial" w:hAnsi="Arial" w:cs="Arial"/>
          <w:sz w:val="20"/>
          <w:szCs w:val="20"/>
        </w:rPr>
        <w:t>σύμφωνα με τα οριζόμενα παρακάτω</w:t>
      </w:r>
      <w:r w:rsidR="003C67D7">
        <w:rPr>
          <w:rFonts w:ascii="Arial" w:hAnsi="Arial" w:cs="Arial"/>
          <w:sz w:val="20"/>
          <w:szCs w:val="20"/>
        </w:rPr>
        <w:t xml:space="preserve">, </w:t>
      </w:r>
      <w:r w:rsidR="00FE7819">
        <w:rPr>
          <w:rFonts w:ascii="Arial" w:hAnsi="Arial" w:cs="Arial"/>
          <w:sz w:val="20"/>
          <w:szCs w:val="20"/>
        </w:rPr>
        <w:t xml:space="preserve">θα γίνει </w:t>
      </w:r>
      <w:r w:rsidR="00CA4012" w:rsidRPr="003C67D7">
        <w:rPr>
          <w:rFonts w:ascii="Arial" w:hAnsi="Arial" w:cs="Arial"/>
          <w:sz w:val="20"/>
          <w:szCs w:val="20"/>
        </w:rPr>
        <w:t xml:space="preserve">την </w:t>
      </w:r>
      <w:r w:rsidR="003C0130" w:rsidRPr="003C0130">
        <w:rPr>
          <w:rFonts w:ascii="Arial" w:hAnsi="Arial" w:cs="Arial"/>
          <w:sz w:val="20"/>
          <w:szCs w:val="20"/>
          <w:highlight w:val="yellow"/>
        </w:rPr>
        <w:t>…</w:t>
      </w:r>
      <w:r w:rsidR="00261BCC">
        <w:rPr>
          <w:rFonts w:ascii="Arial" w:hAnsi="Arial" w:cs="Arial"/>
          <w:sz w:val="20"/>
          <w:szCs w:val="20"/>
        </w:rPr>
        <w:t xml:space="preserve"> </w:t>
      </w:r>
      <w:r w:rsidR="002B1B55" w:rsidRPr="003C67D7">
        <w:rPr>
          <w:rFonts w:ascii="Arial" w:hAnsi="Arial" w:cs="Arial"/>
          <w:sz w:val="20"/>
          <w:szCs w:val="20"/>
        </w:rPr>
        <w:t>(</w:t>
      </w:r>
      <w:r w:rsidR="00FE7819" w:rsidRPr="008820E8">
        <w:rPr>
          <w:rFonts w:ascii="Arial" w:hAnsi="Arial" w:cs="Arial"/>
          <w:sz w:val="20"/>
          <w:szCs w:val="20"/>
        </w:rPr>
        <w:t xml:space="preserve">ημέρα </w:t>
      </w:r>
      <w:r w:rsidR="00261BCC">
        <w:rPr>
          <w:rFonts w:ascii="Arial" w:hAnsi="Arial" w:cs="Arial"/>
          <w:b/>
          <w:sz w:val="20"/>
          <w:szCs w:val="20"/>
          <w:lang w:val="en-US"/>
        </w:rPr>
        <w:t>SD</w:t>
      </w:r>
      <w:r w:rsidR="00261BCC" w:rsidRPr="00261BCC">
        <w:rPr>
          <w:rFonts w:ascii="Arial" w:hAnsi="Arial" w:cs="Arial"/>
          <w:b/>
          <w:sz w:val="20"/>
          <w:szCs w:val="20"/>
        </w:rPr>
        <w:t>+1</w:t>
      </w:r>
      <w:r w:rsidR="002B1B55" w:rsidRPr="003C67D7">
        <w:rPr>
          <w:rFonts w:ascii="Arial" w:hAnsi="Arial" w:cs="Arial"/>
          <w:sz w:val="20"/>
          <w:szCs w:val="20"/>
        </w:rPr>
        <w:t>)</w:t>
      </w:r>
      <w:r w:rsidRPr="00FE7819">
        <w:rPr>
          <w:rFonts w:ascii="Arial" w:hAnsi="Arial" w:cs="Arial"/>
          <w:sz w:val="20"/>
          <w:szCs w:val="20"/>
        </w:rPr>
        <w:t>.</w:t>
      </w:r>
      <w:r w:rsidRPr="00F6283D">
        <w:rPr>
          <w:rFonts w:ascii="Arial" w:hAnsi="Arial" w:cs="Arial"/>
          <w:sz w:val="20"/>
          <w:szCs w:val="20"/>
        </w:rPr>
        <w:t xml:space="preserve"> </w:t>
      </w:r>
    </w:p>
    <w:p w:rsidR="00EA6A5A" w:rsidRDefault="00EA6A5A" w:rsidP="00E566FE">
      <w:pPr>
        <w:jc w:val="both"/>
        <w:rPr>
          <w:rFonts w:ascii="Arial" w:hAnsi="Arial" w:cs="Arial"/>
          <w:sz w:val="20"/>
          <w:szCs w:val="20"/>
        </w:rPr>
      </w:pP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A354FC">
        <w:rPr>
          <w:rFonts w:ascii="Arial" w:hAnsi="Arial" w:cs="Arial"/>
          <w:sz w:val="20"/>
          <w:szCs w:val="20"/>
          <w:u w:val="single"/>
        </w:rPr>
        <w:t>Άσκηση με μία εντολή στον ίδιο Χειριστή</w:t>
      </w: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A354FC">
        <w:rPr>
          <w:rFonts w:ascii="Arial" w:hAnsi="Arial" w:cs="Arial"/>
          <w:sz w:val="20"/>
          <w:szCs w:val="20"/>
        </w:rPr>
        <w:t xml:space="preserve">Ο αριθμός των μετοχών που αντιστοιχούν στην άσκηση των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είναι το γινόμενο της ποσότητος των ασκηθέντων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επί τον πολλαπλασιαστή, στρογγυλοποιημένο στον πλησιέστερο </w:t>
      </w:r>
      <w:r w:rsidRPr="00A354FC">
        <w:rPr>
          <w:rFonts w:ascii="Arial" w:hAnsi="Arial" w:cs="Arial"/>
          <w:b/>
          <w:sz w:val="20"/>
          <w:szCs w:val="20"/>
        </w:rPr>
        <w:t>κατώτερο</w:t>
      </w:r>
      <w:r w:rsidRPr="00A354FC">
        <w:rPr>
          <w:rFonts w:ascii="Arial" w:hAnsi="Arial" w:cs="Arial"/>
          <w:sz w:val="20"/>
          <w:szCs w:val="20"/>
        </w:rPr>
        <w:t xml:space="preserve"> ακέραιο αριθμό, την αξία των οποίων καταβάλει ο κάτοχος των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που ασκούνται, σύμφωνα με τις οδηγίες του Χειριστή. </w:t>
      </w:r>
    </w:p>
    <w:p w:rsidR="0042028C" w:rsidRDefault="0042028C" w:rsidP="00DC3965">
      <w:pPr>
        <w:jc w:val="both"/>
        <w:rPr>
          <w:rFonts w:ascii="Arial" w:hAnsi="Arial" w:cs="Arial"/>
          <w:sz w:val="20"/>
          <w:szCs w:val="20"/>
        </w:rPr>
      </w:pP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A354FC">
        <w:rPr>
          <w:rFonts w:ascii="Arial" w:hAnsi="Arial" w:cs="Arial"/>
          <w:sz w:val="20"/>
          <w:szCs w:val="20"/>
          <w:u w:val="single"/>
        </w:rPr>
        <w:t>Άσκηση με πολλαπλές εντολές στον ίδιο Χειριστή</w:t>
      </w: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A354FC">
        <w:rPr>
          <w:rFonts w:ascii="Arial" w:hAnsi="Arial" w:cs="Arial"/>
          <w:sz w:val="20"/>
          <w:szCs w:val="20"/>
        </w:rPr>
        <w:t xml:space="preserve">Εφόσον υπάρχουν περισσότερες, της μίας, εντολές άσκησης για τον ίδιο κάτοχο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στον ίδιο Χειριστή, τυχόν κλασματικές μετοχές αθροίζονται και στη συνέχεια στρογγυλοποιούνται στον πλησιέστερο </w:t>
      </w:r>
      <w:r w:rsidRPr="00CA6C09">
        <w:rPr>
          <w:rFonts w:ascii="Arial" w:hAnsi="Arial" w:cs="Arial"/>
          <w:b/>
          <w:sz w:val="20"/>
          <w:szCs w:val="20"/>
        </w:rPr>
        <w:t>κατώτερο</w:t>
      </w:r>
      <w:r w:rsidRPr="00A354FC">
        <w:rPr>
          <w:rFonts w:ascii="Arial" w:hAnsi="Arial" w:cs="Arial"/>
          <w:sz w:val="20"/>
          <w:szCs w:val="20"/>
        </w:rPr>
        <w:t xml:space="preserve"> ακέραιο αριθμό, την αξία των οποίων καταβάλει ο κάτοχος των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που ασκούνται, σύμφωνα με τις οδηγίες του Χειριστή. </w:t>
      </w:r>
    </w:p>
    <w:p w:rsidR="0042028C" w:rsidRDefault="0042028C" w:rsidP="00DC3965">
      <w:pPr>
        <w:jc w:val="both"/>
        <w:rPr>
          <w:rFonts w:ascii="Arial" w:hAnsi="Arial" w:cs="Arial"/>
          <w:sz w:val="20"/>
          <w:szCs w:val="20"/>
        </w:rPr>
      </w:pP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A354FC">
        <w:rPr>
          <w:rFonts w:ascii="Arial" w:hAnsi="Arial" w:cs="Arial"/>
          <w:sz w:val="20"/>
          <w:szCs w:val="20"/>
          <w:u w:val="single"/>
        </w:rPr>
        <w:t>Άσκηση μέσω πολλών Χειριστών</w:t>
      </w:r>
    </w:p>
    <w:p w:rsidR="00CF337E" w:rsidRPr="00A354FC" w:rsidRDefault="00D95751" w:rsidP="00DC3965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A354FC">
        <w:rPr>
          <w:rFonts w:ascii="Arial" w:hAnsi="Arial" w:cs="Arial"/>
          <w:sz w:val="20"/>
          <w:szCs w:val="20"/>
        </w:rPr>
        <w:t xml:space="preserve">Σε περίπτωση που ο επενδυτής κατέχει και ασκήσει </w:t>
      </w:r>
      <w:r w:rsidRPr="00A354FC">
        <w:rPr>
          <w:rFonts w:ascii="Arial" w:hAnsi="Arial" w:cs="Arial"/>
          <w:sz w:val="20"/>
          <w:szCs w:val="20"/>
          <w:lang w:val="en-US"/>
        </w:rPr>
        <w:t>warrants</w:t>
      </w:r>
      <w:r w:rsidRPr="00A354FC">
        <w:rPr>
          <w:rFonts w:ascii="Arial" w:hAnsi="Arial" w:cs="Arial"/>
          <w:sz w:val="20"/>
          <w:szCs w:val="20"/>
        </w:rPr>
        <w:t xml:space="preserve"> μέσω </w:t>
      </w:r>
      <w:r w:rsidR="001917A5">
        <w:rPr>
          <w:rFonts w:ascii="Arial" w:hAnsi="Arial" w:cs="Arial"/>
          <w:sz w:val="20"/>
          <w:szCs w:val="20"/>
        </w:rPr>
        <w:t xml:space="preserve">περισσοτέρων </w:t>
      </w:r>
      <w:r w:rsidRPr="00A354FC">
        <w:rPr>
          <w:rFonts w:ascii="Arial" w:hAnsi="Arial" w:cs="Arial"/>
          <w:sz w:val="20"/>
          <w:szCs w:val="20"/>
        </w:rPr>
        <w:t xml:space="preserve"> του ενός Χειριστή, με μία ή πολλαπλές εντολές, τυχόν κλασματικές μετοχές που θα προκύψουν μετά την διαχείριση των κλασματικών αξιών ανά Χειριστή</w:t>
      </w:r>
      <w:r w:rsidR="008A6A9F">
        <w:rPr>
          <w:rFonts w:ascii="Arial" w:hAnsi="Arial" w:cs="Arial"/>
          <w:sz w:val="20"/>
          <w:szCs w:val="20"/>
        </w:rPr>
        <w:t xml:space="preserve"> (σύμφωνα με τα ως άνω)</w:t>
      </w:r>
      <w:r w:rsidRPr="00A354FC">
        <w:rPr>
          <w:rFonts w:ascii="Arial" w:hAnsi="Arial" w:cs="Arial"/>
          <w:sz w:val="20"/>
          <w:szCs w:val="20"/>
        </w:rPr>
        <w:t xml:space="preserve">,  αθροίζονται και στη συνέχεια στρογγυλοποιούνται στον πλησιέστερο </w:t>
      </w:r>
      <w:r w:rsidRPr="00CA6C09">
        <w:rPr>
          <w:rFonts w:ascii="Arial" w:hAnsi="Arial" w:cs="Arial"/>
          <w:b/>
          <w:sz w:val="20"/>
          <w:szCs w:val="20"/>
        </w:rPr>
        <w:t>κατώτερο</w:t>
      </w:r>
      <w:r w:rsidRPr="00A354FC">
        <w:rPr>
          <w:rFonts w:ascii="Arial" w:hAnsi="Arial" w:cs="Arial"/>
          <w:sz w:val="20"/>
          <w:szCs w:val="20"/>
        </w:rPr>
        <w:t xml:space="preserve"> ακέραιο αριθμό, την αξία των οποίων καταβάλει ο κάτοχος των </w:t>
      </w:r>
      <w:proofErr w:type="spellStart"/>
      <w:r w:rsidRPr="00A354FC">
        <w:rPr>
          <w:rFonts w:ascii="Arial" w:hAnsi="Arial" w:cs="Arial"/>
          <w:sz w:val="20"/>
          <w:szCs w:val="20"/>
        </w:rPr>
        <w:t>Warrants</w:t>
      </w:r>
      <w:proofErr w:type="spellEnd"/>
      <w:r w:rsidRPr="00A354FC">
        <w:rPr>
          <w:rFonts w:ascii="Arial" w:hAnsi="Arial" w:cs="Arial"/>
          <w:sz w:val="20"/>
          <w:szCs w:val="20"/>
        </w:rPr>
        <w:t xml:space="preserve"> που ασκούνται, σύμφωνα με τις οδηγίες του Χειριστή του κατόχου με το υψηλότερο ποσοστό ασκηθέντων </w:t>
      </w:r>
      <w:r w:rsidRPr="00A354FC">
        <w:rPr>
          <w:rFonts w:ascii="Arial" w:hAnsi="Arial" w:cs="Arial"/>
          <w:sz w:val="20"/>
          <w:szCs w:val="20"/>
          <w:lang w:val="en-US"/>
        </w:rPr>
        <w:t>Warrants</w:t>
      </w:r>
      <w:r w:rsidRPr="00A354FC">
        <w:rPr>
          <w:rFonts w:ascii="Arial" w:hAnsi="Arial" w:cs="Arial"/>
          <w:sz w:val="20"/>
          <w:szCs w:val="20"/>
        </w:rPr>
        <w:t xml:space="preserve">. </w:t>
      </w:r>
    </w:p>
    <w:p w:rsidR="00527268" w:rsidRDefault="00527268" w:rsidP="00F6283D">
      <w:pPr>
        <w:jc w:val="both"/>
        <w:rPr>
          <w:rFonts w:ascii="Arial" w:hAnsi="Arial" w:cs="Arial"/>
          <w:sz w:val="20"/>
          <w:szCs w:val="20"/>
        </w:rPr>
      </w:pPr>
    </w:p>
    <w:p w:rsidR="00F6283D" w:rsidRPr="001C048F" w:rsidRDefault="0069396A" w:rsidP="00F6283D">
      <w:pPr>
        <w:jc w:val="both"/>
        <w:rPr>
          <w:rFonts w:ascii="Arial" w:hAnsi="Arial" w:cs="Arial"/>
          <w:sz w:val="20"/>
          <w:szCs w:val="20"/>
        </w:rPr>
      </w:pPr>
      <w:r w:rsidRPr="008820E8">
        <w:rPr>
          <w:rFonts w:ascii="Arial" w:hAnsi="Arial" w:cs="Arial"/>
          <w:sz w:val="20"/>
          <w:szCs w:val="20"/>
        </w:rPr>
        <w:t>Ο</w:t>
      </w:r>
      <w:r w:rsidR="003B420C" w:rsidRPr="008820E8">
        <w:rPr>
          <w:rFonts w:ascii="Arial" w:hAnsi="Arial" w:cs="Arial"/>
          <w:sz w:val="20"/>
          <w:szCs w:val="20"/>
        </w:rPr>
        <w:t>ι</w:t>
      </w:r>
      <w:r w:rsidR="007F7164" w:rsidRPr="00077F3D">
        <w:rPr>
          <w:rFonts w:ascii="Arial" w:hAnsi="Arial" w:cs="Arial"/>
          <w:sz w:val="20"/>
          <w:szCs w:val="20"/>
        </w:rPr>
        <w:t xml:space="preserve"> </w:t>
      </w:r>
      <w:r w:rsidR="007F7164" w:rsidRPr="008820E8">
        <w:rPr>
          <w:rFonts w:ascii="Arial" w:hAnsi="Arial" w:cs="Arial"/>
          <w:sz w:val="20"/>
          <w:szCs w:val="20"/>
        </w:rPr>
        <w:t>εντολ</w:t>
      </w:r>
      <w:r w:rsidR="003B420C" w:rsidRPr="008820E8">
        <w:rPr>
          <w:rFonts w:ascii="Arial" w:hAnsi="Arial" w:cs="Arial"/>
          <w:sz w:val="20"/>
          <w:szCs w:val="20"/>
        </w:rPr>
        <w:t>ές</w:t>
      </w:r>
      <w:r w:rsidR="007F7164" w:rsidRPr="008820E8">
        <w:rPr>
          <w:rFonts w:ascii="Arial" w:hAnsi="Arial" w:cs="Arial"/>
          <w:sz w:val="20"/>
          <w:szCs w:val="20"/>
        </w:rPr>
        <w:t xml:space="preserve"> άσκησης </w:t>
      </w:r>
      <w:proofErr w:type="spellStart"/>
      <w:r w:rsidR="007F7164" w:rsidRPr="008820E8">
        <w:rPr>
          <w:rFonts w:ascii="Arial" w:hAnsi="Arial" w:cs="Arial"/>
          <w:sz w:val="20"/>
          <w:szCs w:val="20"/>
        </w:rPr>
        <w:t>Warrants</w:t>
      </w:r>
      <w:proofErr w:type="spellEnd"/>
      <w:r w:rsidR="007F7164" w:rsidRPr="008820E8">
        <w:rPr>
          <w:rFonts w:ascii="Arial" w:hAnsi="Arial" w:cs="Arial"/>
          <w:sz w:val="20"/>
          <w:szCs w:val="20"/>
        </w:rPr>
        <w:t xml:space="preserve"> </w:t>
      </w:r>
      <w:r w:rsidR="003B420C" w:rsidRPr="008820E8">
        <w:rPr>
          <w:rFonts w:ascii="Arial" w:hAnsi="Arial" w:cs="Arial"/>
          <w:sz w:val="20"/>
          <w:szCs w:val="20"/>
        </w:rPr>
        <w:t xml:space="preserve">των Επενδυτών </w:t>
      </w:r>
      <w:r w:rsidR="007F7164" w:rsidRPr="00077F3D">
        <w:rPr>
          <w:rFonts w:ascii="Arial" w:hAnsi="Arial" w:cs="Arial"/>
          <w:sz w:val="20"/>
          <w:szCs w:val="20"/>
        </w:rPr>
        <w:t xml:space="preserve">προς </w:t>
      </w:r>
      <w:r w:rsidR="003B420C" w:rsidRPr="008820E8">
        <w:rPr>
          <w:rFonts w:ascii="Arial" w:hAnsi="Arial" w:cs="Arial"/>
          <w:sz w:val="20"/>
          <w:szCs w:val="20"/>
        </w:rPr>
        <w:t xml:space="preserve">τους </w:t>
      </w:r>
      <w:r w:rsidR="007F7164" w:rsidRPr="008820E8">
        <w:rPr>
          <w:rFonts w:ascii="Arial" w:hAnsi="Arial" w:cs="Arial"/>
          <w:sz w:val="20"/>
          <w:szCs w:val="20"/>
        </w:rPr>
        <w:t>Χειριστ</w:t>
      </w:r>
      <w:r w:rsidR="003B420C" w:rsidRPr="008820E8">
        <w:rPr>
          <w:rFonts w:ascii="Arial" w:hAnsi="Arial" w:cs="Arial"/>
          <w:sz w:val="20"/>
          <w:szCs w:val="20"/>
        </w:rPr>
        <w:t>ές τους,</w:t>
      </w:r>
      <w:r w:rsidR="007F7164" w:rsidRPr="008820E8">
        <w:rPr>
          <w:rFonts w:ascii="Arial" w:hAnsi="Arial" w:cs="Arial"/>
          <w:sz w:val="20"/>
          <w:szCs w:val="20"/>
        </w:rPr>
        <w:t xml:space="preserve"> περιλαμβάν</w:t>
      </w:r>
      <w:r w:rsidR="003B420C" w:rsidRPr="008820E8">
        <w:rPr>
          <w:rFonts w:ascii="Arial" w:hAnsi="Arial" w:cs="Arial"/>
          <w:sz w:val="20"/>
          <w:szCs w:val="20"/>
        </w:rPr>
        <w:t>ουν</w:t>
      </w:r>
      <w:r w:rsidR="007F7164" w:rsidRPr="008820E8">
        <w:rPr>
          <w:rFonts w:ascii="Arial" w:hAnsi="Arial" w:cs="Arial"/>
          <w:sz w:val="20"/>
          <w:szCs w:val="20"/>
        </w:rPr>
        <w:t xml:space="preserve"> και τα κλασματικά υπόλοιπα</w:t>
      </w:r>
      <w:r w:rsidR="002B1B55" w:rsidRPr="008820E8">
        <w:rPr>
          <w:rFonts w:ascii="Arial" w:hAnsi="Arial" w:cs="Arial"/>
          <w:sz w:val="20"/>
          <w:szCs w:val="20"/>
        </w:rPr>
        <w:t xml:space="preserve"> που ενδεχομένως προκύψουν κατά τα ανωτέρω</w:t>
      </w:r>
      <w:r w:rsidR="007F7164" w:rsidRPr="008820E8">
        <w:rPr>
          <w:rFonts w:ascii="Arial" w:hAnsi="Arial" w:cs="Arial"/>
          <w:sz w:val="20"/>
          <w:szCs w:val="20"/>
        </w:rPr>
        <w:t xml:space="preserve">. Οι </w:t>
      </w:r>
      <w:r w:rsidR="009F5BEE" w:rsidRPr="008820E8">
        <w:rPr>
          <w:rFonts w:ascii="Arial" w:hAnsi="Arial" w:cs="Arial"/>
          <w:sz w:val="20"/>
          <w:szCs w:val="20"/>
        </w:rPr>
        <w:t>Επενδυτές</w:t>
      </w:r>
      <w:r w:rsidR="007F7164" w:rsidRPr="00077F3D">
        <w:rPr>
          <w:rFonts w:ascii="Arial" w:hAnsi="Arial" w:cs="Arial"/>
          <w:sz w:val="20"/>
          <w:szCs w:val="20"/>
        </w:rPr>
        <w:t xml:space="preserve"> </w:t>
      </w:r>
      <w:r w:rsidR="003B420C" w:rsidRPr="008820E8">
        <w:rPr>
          <w:rFonts w:ascii="Arial" w:hAnsi="Arial" w:cs="Arial"/>
          <w:sz w:val="20"/>
          <w:szCs w:val="20"/>
        </w:rPr>
        <w:t>υποχρεούνται</w:t>
      </w:r>
      <w:r w:rsidR="007F7164" w:rsidRPr="00077F3D">
        <w:rPr>
          <w:rFonts w:ascii="Arial" w:hAnsi="Arial" w:cs="Arial"/>
          <w:sz w:val="20"/>
          <w:szCs w:val="20"/>
        </w:rPr>
        <w:t xml:space="preserve">, συνεπώς, να </w:t>
      </w:r>
      <w:r w:rsidR="003B420C" w:rsidRPr="008820E8">
        <w:rPr>
          <w:rFonts w:ascii="Arial" w:hAnsi="Arial" w:cs="Arial"/>
          <w:sz w:val="20"/>
          <w:szCs w:val="20"/>
        </w:rPr>
        <w:t>καταβάλουν</w:t>
      </w:r>
      <w:r w:rsidR="007F7164" w:rsidRPr="00077F3D">
        <w:rPr>
          <w:rFonts w:ascii="Arial" w:hAnsi="Arial" w:cs="Arial"/>
          <w:sz w:val="20"/>
          <w:szCs w:val="20"/>
        </w:rPr>
        <w:t xml:space="preserve"> </w:t>
      </w:r>
      <w:r w:rsidRPr="008820E8">
        <w:rPr>
          <w:rFonts w:ascii="Arial" w:hAnsi="Arial" w:cs="Arial"/>
          <w:sz w:val="20"/>
          <w:szCs w:val="20"/>
        </w:rPr>
        <w:t xml:space="preserve">στους Χειριστές τους </w:t>
      </w:r>
      <w:r w:rsidR="007F7164" w:rsidRPr="00077F3D">
        <w:rPr>
          <w:rFonts w:ascii="Arial" w:hAnsi="Arial" w:cs="Arial"/>
          <w:sz w:val="20"/>
          <w:szCs w:val="20"/>
        </w:rPr>
        <w:t>τη</w:t>
      </w:r>
      <w:r w:rsidR="003B420C" w:rsidRPr="008820E8">
        <w:rPr>
          <w:rFonts w:ascii="Arial" w:hAnsi="Arial" w:cs="Arial"/>
          <w:sz w:val="20"/>
          <w:szCs w:val="20"/>
        </w:rPr>
        <w:t>ν</w:t>
      </w:r>
      <w:r w:rsidR="007F7164" w:rsidRPr="008820E8">
        <w:rPr>
          <w:rFonts w:ascii="Arial" w:hAnsi="Arial" w:cs="Arial"/>
          <w:sz w:val="20"/>
          <w:szCs w:val="20"/>
        </w:rPr>
        <w:t xml:space="preserve"> αξία </w:t>
      </w:r>
      <w:r w:rsidR="003B420C" w:rsidRPr="008820E8">
        <w:rPr>
          <w:rFonts w:ascii="Arial" w:hAnsi="Arial" w:cs="Arial"/>
          <w:sz w:val="20"/>
          <w:szCs w:val="20"/>
        </w:rPr>
        <w:t>και των επιπλέον μετοχών που τυχόν προκύψουν</w:t>
      </w:r>
      <w:r w:rsidR="007F7164" w:rsidRPr="00077F3D">
        <w:rPr>
          <w:rFonts w:ascii="Arial" w:hAnsi="Arial" w:cs="Arial"/>
          <w:sz w:val="20"/>
          <w:szCs w:val="20"/>
        </w:rPr>
        <w:t xml:space="preserve"> </w:t>
      </w:r>
      <w:r w:rsidRPr="008820E8">
        <w:rPr>
          <w:rFonts w:ascii="Arial" w:hAnsi="Arial" w:cs="Arial"/>
          <w:sz w:val="20"/>
          <w:szCs w:val="20"/>
        </w:rPr>
        <w:t xml:space="preserve">από κλασματικά υπόλοιπα. </w:t>
      </w:r>
      <w:r w:rsidRPr="00F6283D">
        <w:rPr>
          <w:rFonts w:ascii="Arial" w:hAnsi="Arial" w:cs="Arial"/>
          <w:sz w:val="20"/>
          <w:szCs w:val="20"/>
        </w:rPr>
        <w:t>Για την καταβολή της αξίας των επιπλέον μετοχών οι δικαιούχοι θα ενημερώνονται από το</w:t>
      </w:r>
      <w:r>
        <w:rPr>
          <w:rFonts w:ascii="Arial" w:hAnsi="Arial" w:cs="Arial"/>
          <w:sz w:val="20"/>
          <w:szCs w:val="20"/>
        </w:rPr>
        <w:t>ν αρμόδιο</w:t>
      </w:r>
      <w:r w:rsidRPr="00F6283D">
        <w:rPr>
          <w:rFonts w:ascii="Arial" w:hAnsi="Arial" w:cs="Arial"/>
          <w:sz w:val="20"/>
          <w:szCs w:val="20"/>
        </w:rPr>
        <w:t xml:space="preserve"> Χειριστή </w:t>
      </w:r>
      <w:r w:rsidR="008D1239">
        <w:rPr>
          <w:rFonts w:ascii="Arial" w:hAnsi="Arial" w:cs="Arial"/>
          <w:sz w:val="20"/>
          <w:szCs w:val="20"/>
        </w:rPr>
        <w:t xml:space="preserve">τους, η δε πίστωσή τους θα πραγματοποιείται σε λογαριασμό των δικαιούχων στο Χειριστή </w:t>
      </w:r>
      <w:r w:rsidR="005700A1">
        <w:rPr>
          <w:rFonts w:ascii="Arial" w:hAnsi="Arial" w:cs="Arial"/>
          <w:sz w:val="20"/>
          <w:szCs w:val="20"/>
        </w:rPr>
        <w:t>στον οποίο</w:t>
      </w:r>
      <w:r w:rsidR="008D1239">
        <w:rPr>
          <w:rFonts w:ascii="Arial" w:hAnsi="Arial" w:cs="Arial"/>
          <w:sz w:val="20"/>
          <w:szCs w:val="20"/>
        </w:rPr>
        <w:t xml:space="preserve"> κατέβαλαν την αξία τους</w:t>
      </w:r>
      <w:r w:rsidRPr="00F6283D">
        <w:rPr>
          <w:rFonts w:ascii="Arial" w:hAnsi="Arial" w:cs="Arial"/>
          <w:sz w:val="20"/>
          <w:szCs w:val="20"/>
        </w:rPr>
        <w:t>.</w:t>
      </w:r>
      <w:r w:rsidR="007F7164">
        <w:rPr>
          <w:rFonts w:ascii="Arial" w:hAnsi="Arial" w:cs="Arial"/>
          <w:sz w:val="20"/>
          <w:szCs w:val="20"/>
        </w:rPr>
        <w:t xml:space="preserve"> </w:t>
      </w:r>
    </w:p>
    <w:p w:rsidR="00F6283D" w:rsidRPr="001C048F" w:rsidRDefault="00F6283D" w:rsidP="00F6283D">
      <w:pPr>
        <w:jc w:val="both"/>
        <w:rPr>
          <w:rFonts w:ascii="Arial" w:hAnsi="Arial" w:cs="Arial"/>
          <w:sz w:val="20"/>
          <w:szCs w:val="20"/>
        </w:rPr>
      </w:pPr>
    </w:p>
    <w:p w:rsidR="00F6283D" w:rsidRPr="00AF290F" w:rsidRDefault="00D13288" w:rsidP="00D13288">
      <w:pPr>
        <w:jc w:val="both"/>
        <w:rPr>
          <w:rFonts w:ascii="Arial" w:hAnsi="Arial" w:cs="Arial"/>
          <w:sz w:val="20"/>
          <w:szCs w:val="20"/>
        </w:rPr>
      </w:pPr>
      <w:r w:rsidRPr="00457FAC">
        <w:rPr>
          <w:rFonts w:ascii="Arial" w:hAnsi="Arial" w:cs="Arial"/>
          <w:sz w:val="20"/>
          <w:szCs w:val="20"/>
        </w:rPr>
        <w:t xml:space="preserve">Για περισσότερες πληροφορίες οι </w:t>
      </w:r>
      <w:proofErr w:type="spellStart"/>
      <w:r w:rsidRPr="00457FAC">
        <w:rPr>
          <w:rFonts w:ascii="Arial" w:hAnsi="Arial" w:cs="Arial"/>
          <w:sz w:val="20"/>
          <w:szCs w:val="20"/>
        </w:rPr>
        <w:t>κ.κ</w:t>
      </w:r>
      <w:proofErr w:type="spellEnd"/>
      <w:r w:rsidRPr="00457FA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5D4A68" w:rsidRPr="00457FAC">
        <w:rPr>
          <w:rFonts w:ascii="Arial" w:hAnsi="Arial" w:cs="Arial"/>
          <w:sz w:val="20"/>
          <w:szCs w:val="20"/>
          <w:lang w:val="en-US"/>
        </w:rPr>
        <w:t>M</w:t>
      </w:r>
      <w:proofErr w:type="spellStart"/>
      <w:r w:rsidR="005D4A68" w:rsidRPr="00457FAC">
        <w:rPr>
          <w:rFonts w:ascii="Arial" w:hAnsi="Arial" w:cs="Arial"/>
          <w:sz w:val="20"/>
          <w:szCs w:val="20"/>
        </w:rPr>
        <w:t>έτοχοι</w:t>
      </w:r>
      <w:proofErr w:type="spellEnd"/>
      <w:r w:rsidR="005D4A68" w:rsidRPr="00457FAC">
        <w:rPr>
          <w:rFonts w:ascii="Arial" w:hAnsi="Arial" w:cs="Arial"/>
          <w:sz w:val="20"/>
          <w:szCs w:val="20"/>
        </w:rPr>
        <w:t>/Επενδυτές</w:t>
      </w:r>
      <w:r w:rsidRPr="00457FAC">
        <w:rPr>
          <w:rFonts w:ascii="Arial" w:hAnsi="Arial" w:cs="Arial"/>
          <w:sz w:val="20"/>
          <w:szCs w:val="20"/>
        </w:rPr>
        <w:t xml:space="preserve"> δύνανται να απευθύνονται στο Τμήμα Εξυπηρετήσεως Μετόχων της Τραπέζης (</w:t>
      </w:r>
      <w:proofErr w:type="spellStart"/>
      <w:r w:rsidRPr="00457FAC">
        <w:rPr>
          <w:rFonts w:ascii="Arial" w:hAnsi="Arial" w:cs="Arial"/>
          <w:sz w:val="20"/>
          <w:szCs w:val="20"/>
        </w:rPr>
        <w:t>τηλ</w:t>
      </w:r>
      <w:proofErr w:type="spellEnd"/>
      <w:r w:rsidRPr="00457FAC">
        <w:rPr>
          <w:rFonts w:ascii="Arial" w:hAnsi="Arial" w:cs="Arial"/>
          <w:sz w:val="20"/>
          <w:szCs w:val="20"/>
        </w:rPr>
        <w:t>.</w:t>
      </w:r>
      <w:proofErr w:type="gramEnd"/>
      <w:r w:rsidRPr="00457FAC">
        <w:rPr>
          <w:rFonts w:ascii="Arial" w:hAnsi="Arial" w:cs="Arial"/>
          <w:sz w:val="20"/>
          <w:szCs w:val="20"/>
        </w:rPr>
        <w:t xml:space="preserve"> +30 210 </w:t>
      </w:r>
      <w:r w:rsidR="00261BCC" w:rsidRPr="00261BCC">
        <w:rPr>
          <w:rFonts w:ascii="Arial" w:hAnsi="Arial" w:cs="Arial"/>
          <w:sz w:val="20"/>
          <w:szCs w:val="20"/>
          <w:highlight w:val="yellow"/>
          <w:lang w:val="en-US"/>
        </w:rPr>
        <w:t xml:space="preserve">xxx </w:t>
      </w:r>
      <w:proofErr w:type="spellStart"/>
      <w:r w:rsidR="00261BCC" w:rsidRPr="00261BCC">
        <w:rPr>
          <w:rFonts w:ascii="Arial" w:hAnsi="Arial" w:cs="Arial"/>
          <w:sz w:val="20"/>
          <w:szCs w:val="20"/>
          <w:highlight w:val="yellow"/>
          <w:lang w:val="en-US"/>
        </w:rPr>
        <w:t>xxxx</w:t>
      </w:r>
      <w:proofErr w:type="spellEnd"/>
      <w:r w:rsidRPr="00457FAC">
        <w:rPr>
          <w:rFonts w:ascii="Arial" w:hAnsi="Arial" w:cs="Arial"/>
          <w:sz w:val="20"/>
          <w:szCs w:val="20"/>
        </w:rPr>
        <w:t>)</w:t>
      </w:r>
      <w:r w:rsidR="005D4A68" w:rsidRPr="00457FAC">
        <w:rPr>
          <w:rFonts w:ascii="Arial" w:hAnsi="Arial" w:cs="Arial"/>
          <w:sz w:val="20"/>
          <w:szCs w:val="20"/>
        </w:rPr>
        <w:t>.</w:t>
      </w: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</w:p>
    <w:p w:rsidR="00F6283D" w:rsidRPr="00F6283D" w:rsidRDefault="00F6283D" w:rsidP="00F6283D">
      <w:pPr>
        <w:jc w:val="both"/>
        <w:rPr>
          <w:rFonts w:ascii="Arial" w:hAnsi="Arial" w:cs="Arial"/>
          <w:sz w:val="20"/>
          <w:szCs w:val="20"/>
        </w:rPr>
      </w:pPr>
    </w:p>
    <w:p w:rsidR="00B07D01" w:rsidRPr="008A5CC4" w:rsidRDefault="00B07D01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7185F" w:rsidRPr="008A5CC4" w:rsidRDefault="0007185F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07D01" w:rsidRDefault="00B07D01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07D01" w:rsidRDefault="00B07D01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07984" w:rsidRDefault="00261BCC" w:rsidP="00807984">
      <w:pPr>
        <w:autoSpaceDE w:val="0"/>
        <w:autoSpaceDN w:val="0"/>
        <w:adjustRightInd w:val="0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Αθήνα</w:t>
      </w:r>
      <w:r w:rsidR="00807984">
        <w:rPr>
          <w:rFonts w:ascii="ArialMT" w:hAnsi="ArialMT" w:cs="ArialMT"/>
          <w:sz w:val="20"/>
          <w:szCs w:val="20"/>
        </w:rPr>
        <w:t xml:space="preserve">, </w:t>
      </w:r>
      <w:r w:rsidR="00BF2B54" w:rsidRPr="003C0130">
        <w:rPr>
          <w:rFonts w:ascii="ArialMT" w:hAnsi="ArialMT" w:cs="ArialMT"/>
          <w:sz w:val="20"/>
          <w:szCs w:val="20"/>
          <w:highlight w:val="yellow"/>
        </w:rPr>
        <w:t>ηη/μμ/εεε</w:t>
      </w:r>
    </w:p>
    <w:p w:rsidR="00B07D01" w:rsidRDefault="00B07D01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07D01" w:rsidRPr="00B07D01" w:rsidRDefault="00B07D01" w:rsidP="00763E4B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63E4B" w:rsidRPr="00D13288" w:rsidRDefault="00F6283D" w:rsidP="00763E4B">
      <w:pPr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6283D">
        <w:rPr>
          <w:rFonts w:ascii="Arial" w:hAnsi="Arial" w:cs="Arial"/>
          <w:b/>
          <w:i/>
          <w:color w:val="000000"/>
          <w:sz w:val="20"/>
          <w:szCs w:val="20"/>
          <w:highlight w:val="yellow"/>
        </w:rPr>
        <w:t>***</w:t>
      </w:r>
      <w:r w:rsidR="00261BCC">
        <w:rPr>
          <w:rFonts w:ascii="Arial" w:hAnsi="Arial" w:cs="Arial"/>
          <w:b/>
          <w:i/>
          <w:color w:val="000000"/>
          <w:sz w:val="20"/>
          <w:szCs w:val="20"/>
          <w:highlight w:val="yellow"/>
        </w:rPr>
        <w:t xml:space="preserve"> ΤΕΛΟΣ ΣΧΕΔΙΟΥ ΑΝΑΚΟΙΝΩΣΗΣ </w:t>
      </w:r>
      <w:r w:rsidRPr="00D13288">
        <w:rPr>
          <w:rFonts w:ascii="Arial" w:hAnsi="Arial" w:cs="Arial"/>
          <w:b/>
          <w:i/>
          <w:color w:val="000000"/>
          <w:sz w:val="20"/>
          <w:szCs w:val="20"/>
          <w:highlight w:val="yellow"/>
        </w:rPr>
        <w:t>***</w:t>
      </w:r>
    </w:p>
    <w:p w:rsidR="00763E4B" w:rsidRPr="00DA7901" w:rsidRDefault="00763E4B" w:rsidP="00FB2868">
      <w:pPr>
        <w:rPr>
          <w:rFonts w:ascii="Arial" w:hAnsi="Arial" w:cs="Arial"/>
          <w:b/>
          <w:sz w:val="20"/>
          <w:szCs w:val="20"/>
        </w:rPr>
      </w:pPr>
    </w:p>
    <w:sectPr w:rsidR="00763E4B" w:rsidRPr="00DA7901" w:rsidSect="00E95B73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D7" w:rsidRDefault="006116D7">
      <w:r>
        <w:separator/>
      </w:r>
    </w:p>
  </w:endnote>
  <w:endnote w:type="continuationSeparator" w:id="0">
    <w:p w:rsidR="006116D7" w:rsidRDefault="0061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5F" w:rsidRPr="00C600B5" w:rsidRDefault="00D95751" w:rsidP="00070271">
    <w:pPr>
      <w:pStyle w:val="Footer"/>
      <w:rPr>
        <w:rFonts w:ascii="Tahoma" w:hAnsi="Tahoma" w:cs="Tahoma"/>
        <w:noProof/>
        <w:color w:val="404040"/>
        <w:sz w:val="16"/>
        <w:lang w:val="en-US"/>
      </w:rPr>
    </w:pPr>
    <w:r>
      <w:fldChar w:fldCharType="begin"/>
    </w:r>
    <w:r w:rsidRPr="00A354FC">
      <w:rPr>
        <w:lang w:val="en-US"/>
      </w:rPr>
      <w:instrText xml:space="preserve"> DOCPROPERTY "wsKGDI"  \* MERGEFORMAT </w:instrText>
    </w:r>
    <w:r>
      <w:fldChar w:fldCharType="separate"/>
    </w:r>
    <w:r w:rsidR="00EC4793" w:rsidRPr="00EC4793">
      <w:rPr>
        <w:rFonts w:ascii="Tahoma" w:hAnsi="Tahoma" w:cs="Tahoma"/>
        <w:noProof/>
        <w:color w:val="404040"/>
        <w:sz w:val="16"/>
        <w:lang w:val="en-US"/>
      </w:rPr>
      <w:t>KGDI Law Firm Ref. Num.: 2253345v1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D7" w:rsidRDefault="006116D7">
      <w:r>
        <w:separator/>
      </w:r>
    </w:p>
  </w:footnote>
  <w:footnote w:type="continuationSeparator" w:id="0">
    <w:p w:rsidR="006116D7" w:rsidRDefault="0061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5F" w:rsidRDefault="00D95751" w:rsidP="00C477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2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25F" w:rsidRDefault="00A5325F" w:rsidP="00E95B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5F" w:rsidRDefault="00A5325F" w:rsidP="00C47776">
    <w:pPr>
      <w:pStyle w:val="Header"/>
      <w:framePr w:wrap="around" w:vAnchor="text" w:hAnchor="margin" w:xAlign="right" w:y="1"/>
      <w:rPr>
        <w:rStyle w:val="PageNumber"/>
      </w:rPr>
    </w:pPr>
  </w:p>
  <w:p w:rsidR="00A5325F" w:rsidRDefault="00A5325F" w:rsidP="00E95B73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A5" w:rsidRPr="00270EA5" w:rsidRDefault="00270EA5" w:rsidP="00270EA5">
    <w:pPr>
      <w:pStyle w:val="Header"/>
      <w:jc w:val="right"/>
      <w:rPr>
        <w:b/>
        <w:bCs/>
        <w:sz w:val="16"/>
        <w:szCs w:val="16"/>
        <w:highlight w:val="yellow"/>
      </w:rPr>
    </w:pPr>
    <w:r w:rsidRPr="00270EA5">
      <w:rPr>
        <w:b/>
        <w:bCs/>
        <w:sz w:val="16"/>
        <w:szCs w:val="16"/>
        <w:highlight w:val="yellow"/>
      </w:rPr>
      <w:t>ΣΧΕΔΙΟ ΑΝΑΚΟΙΝΩΣΗΣ ΕΚΔΟΤΡΙΑΣ ΠΡΟΣ ΤΟ ΕΠΕΝΔΥΤΙΚΟ ΚΟΙΝΟ</w:t>
    </w:r>
  </w:p>
  <w:p w:rsidR="00270EA5" w:rsidRPr="00270EA5" w:rsidRDefault="00270EA5" w:rsidP="00270EA5">
    <w:pPr>
      <w:pStyle w:val="Header"/>
      <w:jc w:val="right"/>
      <w:rPr>
        <w:b/>
        <w:bCs/>
        <w:sz w:val="16"/>
        <w:szCs w:val="16"/>
        <w:highlight w:val="yellow"/>
      </w:rPr>
    </w:pPr>
    <w:r w:rsidRPr="00270EA5">
      <w:rPr>
        <w:b/>
        <w:bCs/>
        <w:sz w:val="16"/>
        <w:szCs w:val="16"/>
        <w:highlight w:val="yellow"/>
      </w:rPr>
      <w:t xml:space="preserve">ΣΧΕΤΙΚΑ ΜΕ ΤΗ ΔΙΑΔΙΚΑΣΙΑ ΑΣΚΗΣΗΣ </w:t>
    </w:r>
    <w:r w:rsidRPr="00270EA5">
      <w:rPr>
        <w:b/>
        <w:bCs/>
        <w:sz w:val="16"/>
        <w:szCs w:val="16"/>
        <w:highlight w:val="yellow"/>
        <w:lang w:val="en-US"/>
      </w:rPr>
      <w:t>WARRANTS</w:t>
    </w:r>
    <w:r w:rsidRPr="00270EA5">
      <w:rPr>
        <w:b/>
        <w:bCs/>
        <w:sz w:val="16"/>
        <w:szCs w:val="16"/>
        <w:highlight w:val="yellow"/>
      </w:rPr>
      <w:t xml:space="preserve"> </w:t>
    </w:r>
  </w:p>
  <w:p w:rsidR="00270EA5" w:rsidRPr="00270EA5" w:rsidRDefault="00270EA5" w:rsidP="00270EA5">
    <w:pPr>
      <w:pStyle w:val="Header"/>
      <w:jc w:val="right"/>
      <w:rPr>
        <w:b/>
        <w:bCs/>
        <w:sz w:val="16"/>
        <w:szCs w:val="16"/>
      </w:rPr>
    </w:pPr>
    <w:r w:rsidRPr="00270EA5">
      <w:rPr>
        <w:b/>
        <w:bCs/>
        <w:sz w:val="16"/>
        <w:szCs w:val="16"/>
        <w:highlight w:val="yellow"/>
      </w:rPr>
      <w:t xml:space="preserve">ΜΕΣΩ ΤΟΥ Σ.Α.Τ. ΚΑΙ ΤΗΣ </w:t>
    </w:r>
    <w:r w:rsidR="00CE1B11">
      <w:rPr>
        <w:b/>
        <w:bCs/>
        <w:sz w:val="16"/>
        <w:szCs w:val="16"/>
        <w:highlight w:val="yellow"/>
      </w:rPr>
      <w:t>ΕΛΚΑΤ</w:t>
    </w:r>
    <w:r w:rsidR="00CE1B11" w:rsidRPr="00270EA5">
      <w:rPr>
        <w:b/>
        <w:bCs/>
        <w:sz w:val="16"/>
        <w:szCs w:val="16"/>
        <w:highlight w:val="yellow"/>
      </w:rPr>
      <w:t xml:space="preserve"> </w:t>
    </w:r>
    <w:r w:rsidRPr="00270EA5">
      <w:rPr>
        <w:b/>
        <w:bCs/>
        <w:sz w:val="16"/>
        <w:szCs w:val="16"/>
        <w:highlight w:val="yellow"/>
      </w:rPr>
      <w:t>ΩΣ ΔΙΑΧΕΙΡΙΣΤΗΣ ΤΟΥ Σ.Α.Τ.</w:t>
    </w:r>
  </w:p>
  <w:p w:rsidR="00A5325F" w:rsidRDefault="00A532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4DC1"/>
    <w:multiLevelType w:val="hybridMultilevel"/>
    <w:tmpl w:val="6F1C1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  <w:docVar w:name="FDSMenuDocLevelBtnStates" w:val="&lt;btnStates&gt;&lt;btn tag=&quot;1001&quot; state=&quot;UP&quot;/&gt;&lt;/btnStates&gt;_x000d__x000a_"/>
  </w:docVars>
  <w:rsids>
    <w:rsidRoot w:val="005B27EE"/>
    <w:rsid w:val="0001156D"/>
    <w:rsid w:val="00021169"/>
    <w:rsid w:val="00021934"/>
    <w:rsid w:val="00031E05"/>
    <w:rsid w:val="00070271"/>
    <w:rsid w:val="0007185F"/>
    <w:rsid w:val="00077F3D"/>
    <w:rsid w:val="00080F8D"/>
    <w:rsid w:val="00091C31"/>
    <w:rsid w:val="00096C8A"/>
    <w:rsid w:val="000B1178"/>
    <w:rsid w:val="000B14A8"/>
    <w:rsid w:val="000D7AC6"/>
    <w:rsid w:val="000E05D7"/>
    <w:rsid w:val="000E4C04"/>
    <w:rsid w:val="001104D7"/>
    <w:rsid w:val="00111AE1"/>
    <w:rsid w:val="00113E7E"/>
    <w:rsid w:val="00122889"/>
    <w:rsid w:val="001240BE"/>
    <w:rsid w:val="00125E1B"/>
    <w:rsid w:val="001322A7"/>
    <w:rsid w:val="0013304C"/>
    <w:rsid w:val="00145310"/>
    <w:rsid w:val="00155CC9"/>
    <w:rsid w:val="00155D64"/>
    <w:rsid w:val="00162FB2"/>
    <w:rsid w:val="00171F18"/>
    <w:rsid w:val="0017507A"/>
    <w:rsid w:val="00175CEB"/>
    <w:rsid w:val="00180DBA"/>
    <w:rsid w:val="001861CA"/>
    <w:rsid w:val="001917A5"/>
    <w:rsid w:val="00193FDE"/>
    <w:rsid w:val="001A2354"/>
    <w:rsid w:val="001A7796"/>
    <w:rsid w:val="001B16A1"/>
    <w:rsid w:val="001C048F"/>
    <w:rsid w:val="001D198A"/>
    <w:rsid w:val="001D282F"/>
    <w:rsid w:val="001D57F5"/>
    <w:rsid w:val="001E23F5"/>
    <w:rsid w:val="001E5C06"/>
    <w:rsid w:val="00203EBB"/>
    <w:rsid w:val="0020636E"/>
    <w:rsid w:val="00211A3F"/>
    <w:rsid w:val="00216B31"/>
    <w:rsid w:val="00222A81"/>
    <w:rsid w:val="00232423"/>
    <w:rsid w:val="002344B2"/>
    <w:rsid w:val="00242B2B"/>
    <w:rsid w:val="00242C69"/>
    <w:rsid w:val="00247F27"/>
    <w:rsid w:val="002505DA"/>
    <w:rsid w:val="00250B3A"/>
    <w:rsid w:val="00252A5E"/>
    <w:rsid w:val="00254177"/>
    <w:rsid w:val="00255A05"/>
    <w:rsid w:val="00257596"/>
    <w:rsid w:val="00261BCC"/>
    <w:rsid w:val="002634D3"/>
    <w:rsid w:val="00266776"/>
    <w:rsid w:val="00270EA5"/>
    <w:rsid w:val="00282D05"/>
    <w:rsid w:val="002A125C"/>
    <w:rsid w:val="002A1B17"/>
    <w:rsid w:val="002A25CD"/>
    <w:rsid w:val="002B1B55"/>
    <w:rsid w:val="002B4A73"/>
    <w:rsid w:val="002C08DE"/>
    <w:rsid w:val="002C1622"/>
    <w:rsid w:val="002E1664"/>
    <w:rsid w:val="002E1C2C"/>
    <w:rsid w:val="002F0CAA"/>
    <w:rsid w:val="002F4A2B"/>
    <w:rsid w:val="003011EF"/>
    <w:rsid w:val="00313223"/>
    <w:rsid w:val="0032362B"/>
    <w:rsid w:val="003436F0"/>
    <w:rsid w:val="003467A6"/>
    <w:rsid w:val="00373BFA"/>
    <w:rsid w:val="00374592"/>
    <w:rsid w:val="00375A93"/>
    <w:rsid w:val="0038016A"/>
    <w:rsid w:val="003809BC"/>
    <w:rsid w:val="00380E67"/>
    <w:rsid w:val="00381102"/>
    <w:rsid w:val="00384DC5"/>
    <w:rsid w:val="00386E16"/>
    <w:rsid w:val="00391B66"/>
    <w:rsid w:val="00392A54"/>
    <w:rsid w:val="00394664"/>
    <w:rsid w:val="003A28F8"/>
    <w:rsid w:val="003A7BA5"/>
    <w:rsid w:val="003A7BD8"/>
    <w:rsid w:val="003B13D6"/>
    <w:rsid w:val="003B420C"/>
    <w:rsid w:val="003C0130"/>
    <w:rsid w:val="003C67D7"/>
    <w:rsid w:val="003D1366"/>
    <w:rsid w:val="003E1637"/>
    <w:rsid w:val="003F0059"/>
    <w:rsid w:val="003F13CC"/>
    <w:rsid w:val="0040421A"/>
    <w:rsid w:val="004043A8"/>
    <w:rsid w:val="004130A2"/>
    <w:rsid w:val="0042028C"/>
    <w:rsid w:val="00445FCC"/>
    <w:rsid w:val="00457FAC"/>
    <w:rsid w:val="00460B24"/>
    <w:rsid w:val="0047316F"/>
    <w:rsid w:val="004A1267"/>
    <w:rsid w:val="004A2672"/>
    <w:rsid w:val="004D1706"/>
    <w:rsid w:val="004E0AF6"/>
    <w:rsid w:val="004E65B0"/>
    <w:rsid w:val="004E6D52"/>
    <w:rsid w:val="004F54C0"/>
    <w:rsid w:val="004F61B9"/>
    <w:rsid w:val="005021EA"/>
    <w:rsid w:val="0050612F"/>
    <w:rsid w:val="005236A3"/>
    <w:rsid w:val="005264C4"/>
    <w:rsid w:val="00527268"/>
    <w:rsid w:val="005304C5"/>
    <w:rsid w:val="00537B99"/>
    <w:rsid w:val="0055214C"/>
    <w:rsid w:val="00556E1B"/>
    <w:rsid w:val="005700A1"/>
    <w:rsid w:val="0057082E"/>
    <w:rsid w:val="00585F1E"/>
    <w:rsid w:val="00595272"/>
    <w:rsid w:val="005A40C2"/>
    <w:rsid w:val="005B27EE"/>
    <w:rsid w:val="005C6A50"/>
    <w:rsid w:val="005D4A68"/>
    <w:rsid w:val="006012A9"/>
    <w:rsid w:val="006116D7"/>
    <w:rsid w:val="00611CB7"/>
    <w:rsid w:val="006220C4"/>
    <w:rsid w:val="00633AEB"/>
    <w:rsid w:val="006402F9"/>
    <w:rsid w:val="00642AED"/>
    <w:rsid w:val="00642CCF"/>
    <w:rsid w:val="00650B33"/>
    <w:rsid w:val="00685A7E"/>
    <w:rsid w:val="00692BFD"/>
    <w:rsid w:val="0069396A"/>
    <w:rsid w:val="00694E75"/>
    <w:rsid w:val="006A6861"/>
    <w:rsid w:val="006B3673"/>
    <w:rsid w:val="006C3207"/>
    <w:rsid w:val="006C4BD1"/>
    <w:rsid w:val="006C69A5"/>
    <w:rsid w:val="006C69C5"/>
    <w:rsid w:val="006D722F"/>
    <w:rsid w:val="006E3582"/>
    <w:rsid w:val="006F5C18"/>
    <w:rsid w:val="00702B34"/>
    <w:rsid w:val="00702C81"/>
    <w:rsid w:val="007274FF"/>
    <w:rsid w:val="00730B55"/>
    <w:rsid w:val="00732917"/>
    <w:rsid w:val="0073745C"/>
    <w:rsid w:val="00763CF5"/>
    <w:rsid w:val="00763E4B"/>
    <w:rsid w:val="007674F2"/>
    <w:rsid w:val="007776C1"/>
    <w:rsid w:val="00777DB4"/>
    <w:rsid w:val="00783EF7"/>
    <w:rsid w:val="0079031C"/>
    <w:rsid w:val="007A0A02"/>
    <w:rsid w:val="007A14BD"/>
    <w:rsid w:val="007A6209"/>
    <w:rsid w:val="007A7932"/>
    <w:rsid w:val="007B51AD"/>
    <w:rsid w:val="007B66B7"/>
    <w:rsid w:val="007B6EB5"/>
    <w:rsid w:val="007C3C1F"/>
    <w:rsid w:val="007C4B75"/>
    <w:rsid w:val="007D1412"/>
    <w:rsid w:val="007E2DEA"/>
    <w:rsid w:val="007E4F88"/>
    <w:rsid w:val="007F7164"/>
    <w:rsid w:val="008015C7"/>
    <w:rsid w:val="00807984"/>
    <w:rsid w:val="008122EE"/>
    <w:rsid w:val="00824888"/>
    <w:rsid w:val="008645B2"/>
    <w:rsid w:val="00873709"/>
    <w:rsid w:val="008768A1"/>
    <w:rsid w:val="008820E8"/>
    <w:rsid w:val="008A16DF"/>
    <w:rsid w:val="008A5CC4"/>
    <w:rsid w:val="008A675C"/>
    <w:rsid w:val="008A6A9F"/>
    <w:rsid w:val="008B30F7"/>
    <w:rsid w:val="008B4D30"/>
    <w:rsid w:val="008B5840"/>
    <w:rsid w:val="008D1239"/>
    <w:rsid w:val="008D38CE"/>
    <w:rsid w:val="008F2A0D"/>
    <w:rsid w:val="009052EE"/>
    <w:rsid w:val="00924B10"/>
    <w:rsid w:val="009269AE"/>
    <w:rsid w:val="0095232C"/>
    <w:rsid w:val="009556CE"/>
    <w:rsid w:val="00977D61"/>
    <w:rsid w:val="00992464"/>
    <w:rsid w:val="009A4C3D"/>
    <w:rsid w:val="009A4D18"/>
    <w:rsid w:val="009A5308"/>
    <w:rsid w:val="009A5CFA"/>
    <w:rsid w:val="009B14AC"/>
    <w:rsid w:val="009B6650"/>
    <w:rsid w:val="009C7538"/>
    <w:rsid w:val="009D0E48"/>
    <w:rsid w:val="009D1554"/>
    <w:rsid w:val="009D7294"/>
    <w:rsid w:val="009E2CA3"/>
    <w:rsid w:val="009F5BEE"/>
    <w:rsid w:val="00A04EDD"/>
    <w:rsid w:val="00A05FAE"/>
    <w:rsid w:val="00A126F7"/>
    <w:rsid w:val="00A1714C"/>
    <w:rsid w:val="00A307DA"/>
    <w:rsid w:val="00A354FC"/>
    <w:rsid w:val="00A35F17"/>
    <w:rsid w:val="00A37631"/>
    <w:rsid w:val="00A37F57"/>
    <w:rsid w:val="00A450CE"/>
    <w:rsid w:val="00A47856"/>
    <w:rsid w:val="00A5325F"/>
    <w:rsid w:val="00A54870"/>
    <w:rsid w:val="00A60708"/>
    <w:rsid w:val="00A9302E"/>
    <w:rsid w:val="00A94383"/>
    <w:rsid w:val="00A94E5B"/>
    <w:rsid w:val="00AA5D48"/>
    <w:rsid w:val="00AB6555"/>
    <w:rsid w:val="00AF1FBC"/>
    <w:rsid w:val="00AF2089"/>
    <w:rsid w:val="00AF22BA"/>
    <w:rsid w:val="00AF290F"/>
    <w:rsid w:val="00B0447A"/>
    <w:rsid w:val="00B04D38"/>
    <w:rsid w:val="00B07D01"/>
    <w:rsid w:val="00B303E6"/>
    <w:rsid w:val="00B3099D"/>
    <w:rsid w:val="00B3204B"/>
    <w:rsid w:val="00B321CA"/>
    <w:rsid w:val="00B36416"/>
    <w:rsid w:val="00B60F07"/>
    <w:rsid w:val="00B7038C"/>
    <w:rsid w:val="00B70A7E"/>
    <w:rsid w:val="00B72CEF"/>
    <w:rsid w:val="00B766F7"/>
    <w:rsid w:val="00B81130"/>
    <w:rsid w:val="00B81FC3"/>
    <w:rsid w:val="00BC6F94"/>
    <w:rsid w:val="00BD0AE9"/>
    <w:rsid w:val="00BE613B"/>
    <w:rsid w:val="00BF2B54"/>
    <w:rsid w:val="00BF3106"/>
    <w:rsid w:val="00C01C05"/>
    <w:rsid w:val="00C0312F"/>
    <w:rsid w:val="00C05926"/>
    <w:rsid w:val="00C06782"/>
    <w:rsid w:val="00C17626"/>
    <w:rsid w:val="00C210C7"/>
    <w:rsid w:val="00C2237B"/>
    <w:rsid w:val="00C24029"/>
    <w:rsid w:val="00C266AC"/>
    <w:rsid w:val="00C26840"/>
    <w:rsid w:val="00C342DD"/>
    <w:rsid w:val="00C47776"/>
    <w:rsid w:val="00C56801"/>
    <w:rsid w:val="00C600B5"/>
    <w:rsid w:val="00C625A4"/>
    <w:rsid w:val="00C64036"/>
    <w:rsid w:val="00C73DAE"/>
    <w:rsid w:val="00C85720"/>
    <w:rsid w:val="00C945EA"/>
    <w:rsid w:val="00C94BA7"/>
    <w:rsid w:val="00C9508F"/>
    <w:rsid w:val="00C96CD1"/>
    <w:rsid w:val="00CA2098"/>
    <w:rsid w:val="00CA4012"/>
    <w:rsid w:val="00CA6C09"/>
    <w:rsid w:val="00CA7C1B"/>
    <w:rsid w:val="00CB1D3C"/>
    <w:rsid w:val="00CB6DF0"/>
    <w:rsid w:val="00CC1485"/>
    <w:rsid w:val="00CD0E5F"/>
    <w:rsid w:val="00CE1B11"/>
    <w:rsid w:val="00CF337E"/>
    <w:rsid w:val="00CF44A4"/>
    <w:rsid w:val="00D00616"/>
    <w:rsid w:val="00D05409"/>
    <w:rsid w:val="00D13288"/>
    <w:rsid w:val="00D15CBE"/>
    <w:rsid w:val="00D175FC"/>
    <w:rsid w:val="00D22FDF"/>
    <w:rsid w:val="00D23E3D"/>
    <w:rsid w:val="00D2797E"/>
    <w:rsid w:val="00D326AA"/>
    <w:rsid w:val="00D350AD"/>
    <w:rsid w:val="00D412EA"/>
    <w:rsid w:val="00D461F3"/>
    <w:rsid w:val="00D46A8E"/>
    <w:rsid w:val="00D57CCA"/>
    <w:rsid w:val="00D61C66"/>
    <w:rsid w:val="00D676ED"/>
    <w:rsid w:val="00D8293B"/>
    <w:rsid w:val="00D82AC2"/>
    <w:rsid w:val="00D839FA"/>
    <w:rsid w:val="00D91383"/>
    <w:rsid w:val="00D95751"/>
    <w:rsid w:val="00DA05A3"/>
    <w:rsid w:val="00DA1EA6"/>
    <w:rsid w:val="00DA3D36"/>
    <w:rsid w:val="00DA456B"/>
    <w:rsid w:val="00DA6AEF"/>
    <w:rsid w:val="00DA7901"/>
    <w:rsid w:val="00DC3965"/>
    <w:rsid w:val="00DC55D1"/>
    <w:rsid w:val="00DC6F6B"/>
    <w:rsid w:val="00DD10AD"/>
    <w:rsid w:val="00DD3412"/>
    <w:rsid w:val="00E01962"/>
    <w:rsid w:val="00E05C2A"/>
    <w:rsid w:val="00E06296"/>
    <w:rsid w:val="00E128B9"/>
    <w:rsid w:val="00E14B83"/>
    <w:rsid w:val="00E162E5"/>
    <w:rsid w:val="00E23351"/>
    <w:rsid w:val="00E32F13"/>
    <w:rsid w:val="00E42DCF"/>
    <w:rsid w:val="00E42FCE"/>
    <w:rsid w:val="00E43A97"/>
    <w:rsid w:val="00E4453C"/>
    <w:rsid w:val="00E54882"/>
    <w:rsid w:val="00E56031"/>
    <w:rsid w:val="00E566FE"/>
    <w:rsid w:val="00E56C45"/>
    <w:rsid w:val="00E63204"/>
    <w:rsid w:val="00E7409A"/>
    <w:rsid w:val="00E87EA6"/>
    <w:rsid w:val="00E95B73"/>
    <w:rsid w:val="00EA052A"/>
    <w:rsid w:val="00EA0841"/>
    <w:rsid w:val="00EA2865"/>
    <w:rsid w:val="00EA6A5A"/>
    <w:rsid w:val="00EC4793"/>
    <w:rsid w:val="00ED2E06"/>
    <w:rsid w:val="00ED4220"/>
    <w:rsid w:val="00ED6ABF"/>
    <w:rsid w:val="00EE1534"/>
    <w:rsid w:val="00F11CB1"/>
    <w:rsid w:val="00F238BB"/>
    <w:rsid w:val="00F27960"/>
    <w:rsid w:val="00F32DB4"/>
    <w:rsid w:val="00F34419"/>
    <w:rsid w:val="00F6283D"/>
    <w:rsid w:val="00F64D44"/>
    <w:rsid w:val="00F654D5"/>
    <w:rsid w:val="00F76087"/>
    <w:rsid w:val="00F82A55"/>
    <w:rsid w:val="00FA015C"/>
    <w:rsid w:val="00FA28F1"/>
    <w:rsid w:val="00FA4613"/>
    <w:rsid w:val="00FA60B3"/>
    <w:rsid w:val="00FB2868"/>
    <w:rsid w:val="00FC2988"/>
    <w:rsid w:val="00FD0EF1"/>
    <w:rsid w:val="00FD137B"/>
    <w:rsid w:val="00FD2036"/>
    <w:rsid w:val="00FD30DD"/>
    <w:rsid w:val="00FD3D4D"/>
    <w:rsid w:val="00FE7819"/>
    <w:rsid w:val="00FF0CA5"/>
    <w:rsid w:val="00FF299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D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3DA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73DAE"/>
    <w:pPr>
      <w:spacing w:after="120"/>
      <w:ind w:left="283"/>
    </w:pPr>
  </w:style>
  <w:style w:type="paragraph" w:customStyle="1" w:styleId="CharChar1">
    <w:name w:val="Char Char1"/>
    <w:basedOn w:val="Normal"/>
    <w:rsid w:val="00C73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C73D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254177"/>
    <w:rPr>
      <w:b/>
      <w:bCs/>
    </w:rPr>
  </w:style>
  <w:style w:type="paragraph" w:styleId="NormalWeb">
    <w:name w:val="Normal (Web)"/>
    <w:basedOn w:val="Normal"/>
    <w:rsid w:val="00254177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Body3">
    <w:name w:val="Body 3"/>
    <w:basedOn w:val="Normal"/>
    <w:rsid w:val="00650B33"/>
    <w:pPr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val="en-GB" w:eastAsia="en-US"/>
    </w:rPr>
  </w:style>
  <w:style w:type="character" w:styleId="PageNumber">
    <w:name w:val="page number"/>
    <w:basedOn w:val="DefaultParagraphFont"/>
    <w:rsid w:val="00E95B73"/>
  </w:style>
  <w:style w:type="character" w:styleId="Emphasis">
    <w:name w:val="Emphasis"/>
    <w:basedOn w:val="DefaultParagraphFont"/>
    <w:qFormat/>
    <w:rsid w:val="009B6650"/>
    <w:rPr>
      <w:i/>
      <w:iCs/>
    </w:rPr>
  </w:style>
  <w:style w:type="paragraph" w:customStyle="1" w:styleId="Default">
    <w:name w:val="Default"/>
    <w:rsid w:val="0011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3E4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D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76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2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D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73DA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73DAE"/>
    <w:pPr>
      <w:spacing w:after="120"/>
      <w:ind w:left="283"/>
    </w:pPr>
  </w:style>
  <w:style w:type="paragraph" w:customStyle="1" w:styleId="CharChar1">
    <w:name w:val="Char Char1"/>
    <w:basedOn w:val="Normal"/>
    <w:rsid w:val="00C73D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C73D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254177"/>
    <w:rPr>
      <w:b/>
      <w:bCs/>
    </w:rPr>
  </w:style>
  <w:style w:type="paragraph" w:styleId="NormalWeb">
    <w:name w:val="Normal (Web)"/>
    <w:basedOn w:val="Normal"/>
    <w:rsid w:val="00254177"/>
    <w:pPr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Body3">
    <w:name w:val="Body 3"/>
    <w:basedOn w:val="Normal"/>
    <w:rsid w:val="00650B33"/>
    <w:pPr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val="en-GB" w:eastAsia="en-US"/>
    </w:rPr>
  </w:style>
  <w:style w:type="character" w:styleId="PageNumber">
    <w:name w:val="page number"/>
    <w:basedOn w:val="DefaultParagraphFont"/>
    <w:rsid w:val="00E95B73"/>
  </w:style>
  <w:style w:type="character" w:styleId="Emphasis">
    <w:name w:val="Emphasis"/>
    <w:basedOn w:val="DefaultParagraphFont"/>
    <w:qFormat/>
    <w:rsid w:val="009B6650"/>
    <w:rPr>
      <w:i/>
      <w:iCs/>
    </w:rPr>
  </w:style>
  <w:style w:type="paragraph" w:customStyle="1" w:styleId="Default">
    <w:name w:val="Default"/>
    <w:rsid w:val="0011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63E4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D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D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76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EEED-C68A-4DF8-A252-5E9A15F7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Stamou, Anastasia</dc:creator>
  <cp:lastModifiedBy>Kouimtzis, Nikolaos</cp:lastModifiedBy>
  <cp:revision>24</cp:revision>
  <cp:lastPrinted>2013-11-28T13:11:00Z</cp:lastPrinted>
  <dcterms:created xsi:type="dcterms:W3CDTF">2013-11-28T14:05:00Z</dcterms:created>
  <dcterms:modified xsi:type="dcterms:W3CDTF">2014-05-30T13:03:00Z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KGDI">
    <vt:lpwstr>KGDI Law Firm Ref. Num.: 2253345v1</vt:lpwstr>
  </property>
  <property fmtid="{D5CDD505-2E9C-101B-9397-08002B2CF9AE}" pid="3" name="wsPV">
    <vt:lpwstr>PotamitisVekris Law Partnership Ref. Num.: 1343875.6</vt:lpwstr>
  </property>
</Properties>
</file>