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41" w:rsidRPr="009A3D49" w:rsidRDefault="00D139C5"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To</w:t>
      </w:r>
    </w:p>
    <w:p w:rsidR="002E3941" w:rsidRPr="00C24ED4" w:rsidRDefault="00501C4E" w:rsidP="002E3941">
      <w:pPr>
        <w:spacing w:before="120" w:after="120" w:line="240" w:lineRule="atLeast"/>
        <w:jc w:val="both"/>
        <w:rPr>
          <w:rFonts w:ascii="Verdana" w:hAnsi="Verdana" w:cs="Arial"/>
          <w:b/>
          <w:sz w:val="16"/>
          <w:szCs w:val="16"/>
          <w:lang w:eastAsia="el-GR"/>
        </w:rPr>
      </w:pPr>
      <w:r w:rsidRPr="00C24ED4">
        <w:rPr>
          <w:rFonts w:ascii="Verdana" w:hAnsi="Verdana" w:cs="Arial"/>
          <w:b/>
          <w:bCs/>
          <w:sz w:val="16"/>
          <w:szCs w:val="16"/>
          <w:lang w:eastAsia="el-GR"/>
        </w:rPr>
        <w:t>The HELLENIC EXCHANGES SA HOLDING CLEARING SETTLEMENT AND REGISTRY (HELEX)</w:t>
      </w:r>
      <w:r w:rsidR="002E3941" w:rsidRPr="00C24ED4">
        <w:rPr>
          <w:rFonts w:ascii="Verdana" w:hAnsi="Verdana" w:cs="Arial"/>
          <w:b/>
          <w:sz w:val="16"/>
          <w:szCs w:val="16"/>
          <w:lang w:eastAsia="el-GR"/>
        </w:rPr>
        <w:t xml:space="preserve"> </w:t>
      </w:r>
    </w:p>
    <w:p w:rsidR="002E3941" w:rsidRPr="00C24ED4" w:rsidRDefault="00501C4E" w:rsidP="002E3941">
      <w:pPr>
        <w:spacing w:before="120" w:after="120" w:line="240" w:lineRule="atLeast"/>
        <w:jc w:val="both"/>
        <w:rPr>
          <w:rFonts w:ascii="Verdana" w:hAnsi="Verdana" w:cs="Arial"/>
          <w:b/>
          <w:sz w:val="16"/>
          <w:szCs w:val="16"/>
          <w:lang w:eastAsia="el-GR"/>
        </w:rPr>
      </w:pPr>
      <w:r w:rsidRPr="00C24ED4">
        <w:rPr>
          <w:rFonts w:ascii="Verdana" w:hAnsi="Verdana" w:cs="Arial"/>
          <w:b/>
          <w:sz w:val="16"/>
          <w:szCs w:val="16"/>
          <w:lang w:eastAsia="el-GR"/>
        </w:rPr>
        <w:t>Member Support Division</w:t>
      </w:r>
    </w:p>
    <w:p w:rsidR="002E3941" w:rsidRPr="009A3D49" w:rsidRDefault="002E3941" w:rsidP="002E3941">
      <w:pPr>
        <w:spacing w:before="120" w:after="120" w:line="240" w:lineRule="atLeast"/>
        <w:jc w:val="both"/>
        <w:rPr>
          <w:rFonts w:ascii="Verdana" w:hAnsi="Verdana" w:cs="Arial"/>
          <w:sz w:val="16"/>
          <w:szCs w:val="16"/>
          <w:lang w:eastAsia="el-GR"/>
        </w:rPr>
      </w:pPr>
      <w:smartTag w:uri="urn:schemas-microsoft-com:office:smarttags" w:element="Street">
        <w:smartTag w:uri="urn:schemas-microsoft-com:office:smarttags" w:element="address">
          <w:r w:rsidRPr="009A3D49">
            <w:rPr>
              <w:rFonts w:ascii="Verdana" w:hAnsi="Verdana" w:cs="Arial"/>
              <w:sz w:val="16"/>
              <w:szCs w:val="16"/>
              <w:lang w:eastAsia="el-GR"/>
            </w:rPr>
            <w:t>110</w:t>
          </w:r>
          <w:r w:rsidR="00501C4E">
            <w:rPr>
              <w:rFonts w:ascii="Verdana" w:hAnsi="Verdana" w:cs="Arial"/>
              <w:sz w:val="16"/>
              <w:szCs w:val="16"/>
              <w:lang w:eastAsia="el-GR"/>
            </w:rPr>
            <w:t xml:space="preserve"> Athinon Ave.</w:t>
          </w:r>
        </w:smartTag>
      </w:smartTag>
      <w:r w:rsidR="00501C4E">
        <w:rPr>
          <w:rFonts w:ascii="Verdana" w:hAnsi="Verdana" w:cs="Arial"/>
          <w:sz w:val="16"/>
          <w:szCs w:val="16"/>
          <w:lang w:eastAsia="el-GR"/>
        </w:rPr>
        <w:t>,</w:t>
      </w:r>
    </w:p>
    <w:p w:rsidR="002E3941" w:rsidRPr="009A3D49" w:rsidRDefault="002E3941" w:rsidP="002E3941">
      <w:pPr>
        <w:spacing w:before="120" w:after="120" w:line="240" w:lineRule="atLeast"/>
        <w:jc w:val="both"/>
        <w:rPr>
          <w:rFonts w:ascii="Verdana" w:hAnsi="Verdana" w:cs="Arial"/>
          <w:sz w:val="16"/>
          <w:szCs w:val="16"/>
          <w:lang w:eastAsia="el-GR"/>
        </w:rPr>
      </w:pPr>
      <w:r w:rsidRPr="009A3D49">
        <w:rPr>
          <w:rFonts w:ascii="Verdana" w:hAnsi="Verdana" w:cs="Arial"/>
          <w:sz w:val="16"/>
          <w:szCs w:val="16"/>
          <w:lang w:eastAsia="el-GR"/>
        </w:rPr>
        <w:t>104 42</w:t>
      </w:r>
      <w:r w:rsidR="00C24ED4" w:rsidRPr="00E1241D">
        <w:rPr>
          <w:rFonts w:ascii="Verdana" w:hAnsi="Verdana" w:cs="Arial"/>
          <w:sz w:val="16"/>
          <w:szCs w:val="16"/>
          <w:lang w:eastAsia="el-GR"/>
        </w:rPr>
        <w:t xml:space="preserve"> </w:t>
      </w:r>
      <w:smartTag w:uri="urn:schemas-microsoft-com:office:smarttags" w:element="City">
        <w:r w:rsidR="00C24ED4">
          <w:rPr>
            <w:rFonts w:ascii="Verdana" w:hAnsi="Verdana" w:cs="Arial"/>
            <w:sz w:val="16"/>
            <w:szCs w:val="16"/>
            <w:lang w:val="en-US" w:eastAsia="el-GR"/>
          </w:rPr>
          <w:t>Athens</w:t>
        </w:r>
      </w:smartTag>
      <w:r w:rsidR="00C24ED4">
        <w:rPr>
          <w:rFonts w:ascii="Verdana" w:hAnsi="Verdana" w:cs="Arial"/>
          <w:sz w:val="16"/>
          <w:szCs w:val="16"/>
          <w:lang w:val="en-US" w:eastAsia="el-GR"/>
        </w:rPr>
        <w:t xml:space="preserve">, </w:t>
      </w:r>
      <w:smartTag w:uri="urn:schemas-microsoft-com:office:smarttags" w:element="place">
        <w:smartTag w:uri="urn:schemas-microsoft-com:office:smarttags" w:element="country-region">
          <w:r w:rsidR="00C24ED4">
            <w:rPr>
              <w:rFonts w:ascii="Verdana" w:hAnsi="Verdana" w:cs="Arial"/>
              <w:sz w:val="16"/>
              <w:szCs w:val="16"/>
              <w:lang w:val="en-US" w:eastAsia="el-GR"/>
            </w:rPr>
            <w:t>Greece</w:t>
          </w:r>
        </w:smartTag>
      </w:smartTag>
      <w:r w:rsidRPr="009A3D49">
        <w:rPr>
          <w:rFonts w:ascii="Verdana" w:hAnsi="Verdana" w:cs="Arial"/>
          <w:sz w:val="16"/>
          <w:szCs w:val="16"/>
          <w:lang w:eastAsia="el-GR"/>
        </w:rPr>
        <w:t xml:space="preserve">  </w:t>
      </w:r>
    </w:p>
    <w:p w:rsidR="002E3941" w:rsidRPr="009A3D49" w:rsidRDefault="002E3941" w:rsidP="002E3941">
      <w:pPr>
        <w:spacing w:before="120" w:after="120" w:line="240" w:lineRule="atLeast"/>
        <w:jc w:val="both"/>
        <w:rPr>
          <w:rFonts w:ascii="Verdana" w:hAnsi="Verdana" w:cs="Arial"/>
          <w:i/>
          <w:sz w:val="16"/>
          <w:szCs w:val="16"/>
          <w:lang w:eastAsia="el-GR"/>
        </w:rPr>
      </w:pPr>
    </w:p>
    <w:p w:rsidR="002E3941" w:rsidRPr="009A3D49" w:rsidRDefault="002E3941" w:rsidP="00C24ED4">
      <w:pPr>
        <w:spacing w:before="120" w:after="120" w:line="240" w:lineRule="atLeast"/>
        <w:jc w:val="right"/>
        <w:rPr>
          <w:rFonts w:ascii="Verdana" w:hAnsi="Verdana" w:cs="Arial"/>
          <w:sz w:val="16"/>
          <w:szCs w:val="16"/>
          <w:lang w:eastAsia="el-GR"/>
        </w:rPr>
      </w:pPr>
      <w:r w:rsidRPr="009A3D49">
        <w:rPr>
          <w:rFonts w:ascii="Verdana" w:hAnsi="Verdana" w:cs="Arial"/>
          <w:b/>
          <w:sz w:val="16"/>
          <w:szCs w:val="16"/>
          <w:lang w:eastAsia="el-GR"/>
        </w:rPr>
        <w:tab/>
      </w:r>
      <w:r w:rsidRPr="009A3D49">
        <w:rPr>
          <w:rFonts w:ascii="Verdana" w:hAnsi="Verdana" w:cs="Arial"/>
          <w:b/>
          <w:sz w:val="16"/>
          <w:szCs w:val="16"/>
          <w:lang w:eastAsia="el-GR"/>
        </w:rPr>
        <w:tab/>
      </w:r>
      <w:r w:rsidRPr="009A3D49">
        <w:rPr>
          <w:rFonts w:ascii="Verdana" w:hAnsi="Verdana" w:cs="Arial"/>
          <w:b/>
          <w:sz w:val="16"/>
          <w:szCs w:val="16"/>
          <w:lang w:eastAsia="el-GR"/>
        </w:rPr>
        <w:tab/>
      </w:r>
      <w:r w:rsidRPr="009A3D49">
        <w:rPr>
          <w:rFonts w:ascii="Verdana" w:hAnsi="Verdana" w:cs="Arial"/>
          <w:b/>
          <w:sz w:val="16"/>
          <w:szCs w:val="16"/>
          <w:lang w:eastAsia="el-GR"/>
        </w:rPr>
        <w:tab/>
      </w:r>
      <w:r w:rsidRPr="009A3D49">
        <w:rPr>
          <w:rFonts w:ascii="Verdana" w:hAnsi="Verdana" w:cs="Arial"/>
          <w:b/>
          <w:sz w:val="16"/>
          <w:szCs w:val="16"/>
          <w:lang w:eastAsia="el-GR"/>
        </w:rPr>
        <w:tab/>
      </w:r>
      <w:r w:rsidRPr="009A3D49">
        <w:rPr>
          <w:rFonts w:ascii="Verdana" w:hAnsi="Verdana" w:cs="Arial"/>
          <w:b/>
          <w:sz w:val="16"/>
          <w:szCs w:val="16"/>
          <w:lang w:eastAsia="el-GR"/>
        </w:rPr>
        <w:tab/>
      </w:r>
      <w:bookmarkStart w:id="0" w:name="Text1"/>
      <w:r w:rsidR="003B139F">
        <w:rPr>
          <w:rFonts w:ascii="Verdana" w:hAnsi="Verdana" w:cs="Arial"/>
          <w:sz w:val="16"/>
          <w:szCs w:val="16"/>
          <w:lang w:eastAsia="el-GR"/>
        </w:rPr>
        <w:fldChar w:fldCharType="begin">
          <w:ffData>
            <w:name w:val="Text1"/>
            <w:enabled/>
            <w:calcOnExit w:val="0"/>
            <w:textInput>
              <w:default w:val="Athens, ………………"/>
            </w:textInput>
          </w:ffData>
        </w:fldChar>
      </w:r>
      <w:r w:rsidR="003B139F">
        <w:rPr>
          <w:rFonts w:ascii="Verdana" w:hAnsi="Verdana" w:cs="Arial"/>
          <w:sz w:val="16"/>
          <w:szCs w:val="16"/>
          <w:lang w:eastAsia="el-GR"/>
        </w:rPr>
        <w:instrText xml:space="preserve"> FORMTEXT </w:instrText>
      </w:r>
      <w:r w:rsidR="00E93F4B" w:rsidRPr="003B139F">
        <w:rPr>
          <w:rFonts w:ascii="Verdana" w:hAnsi="Verdana" w:cs="Arial"/>
          <w:sz w:val="16"/>
          <w:szCs w:val="16"/>
          <w:lang w:eastAsia="el-GR"/>
        </w:rPr>
      </w:r>
      <w:r w:rsidR="003B139F">
        <w:rPr>
          <w:rFonts w:ascii="Verdana" w:hAnsi="Verdana" w:cs="Arial"/>
          <w:sz w:val="16"/>
          <w:szCs w:val="16"/>
          <w:lang w:eastAsia="el-GR"/>
        </w:rPr>
        <w:fldChar w:fldCharType="separate"/>
      </w:r>
      <w:bookmarkStart w:id="1" w:name="_GoBack"/>
      <w:r w:rsidR="003B139F">
        <w:rPr>
          <w:rFonts w:ascii="Verdana" w:hAnsi="Verdana" w:cs="Arial"/>
          <w:noProof/>
          <w:sz w:val="16"/>
          <w:szCs w:val="16"/>
          <w:lang w:eastAsia="el-GR"/>
        </w:rPr>
        <w:t>Athens, ………………</w:t>
      </w:r>
      <w:bookmarkEnd w:id="1"/>
      <w:r w:rsidR="003B139F">
        <w:rPr>
          <w:rFonts w:ascii="Verdana" w:hAnsi="Verdana" w:cs="Arial"/>
          <w:sz w:val="16"/>
          <w:szCs w:val="16"/>
          <w:lang w:eastAsia="el-GR"/>
        </w:rPr>
        <w:fldChar w:fldCharType="end"/>
      </w:r>
      <w:bookmarkEnd w:id="0"/>
    </w:p>
    <w:p w:rsidR="002E3941" w:rsidRPr="009A3D49" w:rsidRDefault="002E3941" w:rsidP="002E3941">
      <w:pPr>
        <w:spacing w:before="120" w:after="120" w:line="240" w:lineRule="atLeast"/>
        <w:jc w:val="both"/>
        <w:rPr>
          <w:rFonts w:ascii="Verdana" w:hAnsi="Verdana" w:cs="Arial"/>
          <w:sz w:val="16"/>
          <w:szCs w:val="16"/>
          <w:lang w:eastAsia="el-GR"/>
        </w:rPr>
      </w:pPr>
    </w:p>
    <w:p w:rsidR="00754DBC" w:rsidRDefault="00501C4E" w:rsidP="002E3941">
      <w:pPr>
        <w:spacing w:before="120" w:after="120" w:line="240" w:lineRule="atLeast"/>
        <w:jc w:val="center"/>
        <w:rPr>
          <w:rFonts w:ascii="Verdana" w:hAnsi="Verdana" w:cs="Arial"/>
          <w:b/>
          <w:sz w:val="16"/>
          <w:szCs w:val="16"/>
          <w:lang w:eastAsia="el-GR"/>
        </w:rPr>
      </w:pPr>
      <w:r>
        <w:rPr>
          <w:rFonts w:ascii="Verdana" w:hAnsi="Verdana" w:cs="Arial"/>
          <w:b/>
          <w:sz w:val="16"/>
          <w:szCs w:val="16"/>
          <w:lang w:eastAsia="el-GR"/>
        </w:rPr>
        <w:t>STATEMENT</w:t>
      </w:r>
      <w:r w:rsidR="002E3941" w:rsidRPr="009A3D49">
        <w:rPr>
          <w:rFonts w:ascii="Verdana" w:hAnsi="Verdana" w:cs="Arial"/>
          <w:b/>
          <w:sz w:val="16"/>
          <w:szCs w:val="16"/>
          <w:lang w:eastAsia="el-GR"/>
        </w:rPr>
        <w:t xml:space="preserve"> &amp; </w:t>
      </w:r>
      <w:r>
        <w:rPr>
          <w:rFonts w:ascii="Verdana" w:hAnsi="Verdana" w:cs="Arial"/>
          <w:b/>
          <w:sz w:val="16"/>
          <w:szCs w:val="16"/>
          <w:lang w:eastAsia="el-GR"/>
        </w:rPr>
        <w:t xml:space="preserve">SPECIAL TERMS FOR THE PROVISION OF SETTLEMENT BANK SERVICES </w:t>
      </w:r>
    </w:p>
    <w:p w:rsidR="002E3941" w:rsidRPr="009A3D49" w:rsidRDefault="0050152E" w:rsidP="002E3941">
      <w:pPr>
        <w:spacing w:before="120" w:after="120" w:line="240" w:lineRule="atLeast"/>
        <w:jc w:val="center"/>
        <w:rPr>
          <w:rFonts w:ascii="Verdana" w:hAnsi="Verdana" w:cs="Arial"/>
          <w:b/>
          <w:sz w:val="16"/>
          <w:szCs w:val="16"/>
          <w:lang w:eastAsia="el-GR"/>
        </w:rPr>
      </w:pPr>
      <w:r>
        <w:rPr>
          <w:rFonts w:ascii="Verdana" w:hAnsi="Verdana" w:cs="Arial"/>
          <w:b/>
          <w:sz w:val="16"/>
          <w:szCs w:val="16"/>
          <w:lang w:eastAsia="el-GR"/>
        </w:rPr>
        <w:t>TO</w:t>
      </w:r>
      <w:r w:rsidR="007F283B">
        <w:rPr>
          <w:rFonts w:ascii="Verdana" w:hAnsi="Verdana" w:cs="Arial"/>
          <w:b/>
          <w:sz w:val="16"/>
          <w:szCs w:val="16"/>
          <w:lang w:eastAsia="el-GR"/>
        </w:rPr>
        <w:t xml:space="preserve"> </w:t>
      </w:r>
      <w:r w:rsidR="00501C4E">
        <w:rPr>
          <w:rFonts w:ascii="Verdana" w:hAnsi="Verdana" w:cs="Arial"/>
          <w:b/>
          <w:sz w:val="16"/>
          <w:szCs w:val="16"/>
          <w:lang w:eastAsia="el-GR"/>
        </w:rPr>
        <w:t xml:space="preserve">HELEX’S  </w:t>
      </w:r>
      <w:r w:rsidR="00501C4E">
        <w:rPr>
          <w:rFonts w:ascii="Verdana" w:hAnsi="Verdana" w:cs="Arial"/>
          <w:b/>
          <w:sz w:val="16"/>
          <w:szCs w:val="16"/>
          <w:lang w:val="en-US" w:eastAsia="el-GR"/>
        </w:rPr>
        <w:t xml:space="preserve">ANCILLARY SYSTEM </w:t>
      </w:r>
      <w:r w:rsidR="007F283B">
        <w:rPr>
          <w:rFonts w:ascii="Verdana" w:hAnsi="Verdana" w:cs="Arial"/>
          <w:b/>
          <w:sz w:val="16"/>
          <w:szCs w:val="16"/>
          <w:lang w:val="en-US" w:eastAsia="el-GR"/>
        </w:rPr>
        <w:t>IN</w:t>
      </w:r>
      <w:r w:rsidR="00501C4E">
        <w:rPr>
          <w:rFonts w:ascii="Verdana" w:hAnsi="Verdana" w:cs="Arial"/>
          <w:b/>
          <w:sz w:val="16"/>
          <w:szCs w:val="16"/>
          <w:lang w:val="en-US" w:eastAsia="el-GR"/>
        </w:rPr>
        <w:t xml:space="preserve"> </w:t>
      </w:r>
      <w:r w:rsidR="002E3941" w:rsidRPr="009A3D49">
        <w:rPr>
          <w:rFonts w:ascii="Verdana" w:hAnsi="Verdana" w:cs="Arial"/>
          <w:b/>
          <w:sz w:val="16"/>
          <w:szCs w:val="16"/>
          <w:lang w:eastAsia="el-GR"/>
        </w:rPr>
        <w:t>TARGET2</w:t>
      </w:r>
    </w:p>
    <w:p w:rsidR="002E3941" w:rsidRPr="009A3D49" w:rsidRDefault="002E3941" w:rsidP="002E3941">
      <w:pPr>
        <w:spacing w:before="120" w:after="120" w:line="240" w:lineRule="atLeast"/>
        <w:jc w:val="both"/>
        <w:rPr>
          <w:rFonts w:ascii="Verdana" w:hAnsi="Verdana" w:cs="Arial"/>
          <w:b/>
          <w:sz w:val="16"/>
          <w:szCs w:val="16"/>
          <w:lang w:eastAsia="el-GR"/>
        </w:rPr>
      </w:pPr>
    </w:p>
    <w:p w:rsidR="002E3941" w:rsidRPr="009A3D49" w:rsidRDefault="00361E81"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legal entity under the name</w:t>
      </w:r>
      <w:r w:rsidR="002E3941" w:rsidRPr="009A3D49">
        <w:rPr>
          <w:rFonts w:ascii="Verdana" w:hAnsi="Verdana" w:cs="Arial"/>
          <w:sz w:val="16"/>
          <w:szCs w:val="16"/>
          <w:lang w:eastAsia="el-GR"/>
        </w:rPr>
        <w:t xml:space="preserve"> </w:t>
      </w:r>
      <w:bookmarkStart w:id="2" w:name="Text2"/>
      <w:r w:rsidR="002E7925">
        <w:rPr>
          <w:rFonts w:ascii="Verdana" w:hAnsi="Verdana" w:cs="Arial"/>
          <w:sz w:val="16"/>
          <w:szCs w:val="16"/>
          <w:lang w:eastAsia="el-GR"/>
        </w:rPr>
        <w:fldChar w:fldCharType="begin">
          <w:ffData>
            <w:name w:val="Text2"/>
            <w:enabled/>
            <w:calcOnExit w:val="0"/>
            <w:textInput>
              <w:default w:val="…………………………………………………………………………"/>
            </w:textInput>
          </w:ffData>
        </w:fldChar>
      </w:r>
      <w:r w:rsidR="002E7925">
        <w:rPr>
          <w:rFonts w:ascii="Verdana" w:hAnsi="Verdana" w:cs="Arial"/>
          <w:sz w:val="16"/>
          <w:szCs w:val="16"/>
          <w:lang w:eastAsia="el-GR"/>
        </w:rPr>
        <w:instrText xml:space="preserve"> FORMTEXT </w:instrText>
      </w:r>
      <w:r w:rsidR="00E93F4B" w:rsidRPr="002E7925">
        <w:rPr>
          <w:rFonts w:ascii="Verdana" w:hAnsi="Verdana" w:cs="Arial"/>
          <w:sz w:val="16"/>
          <w:szCs w:val="16"/>
          <w:lang w:eastAsia="el-GR"/>
        </w:rPr>
      </w:r>
      <w:r w:rsidR="002E7925">
        <w:rPr>
          <w:rFonts w:ascii="Verdana" w:hAnsi="Verdana" w:cs="Arial"/>
          <w:sz w:val="16"/>
          <w:szCs w:val="16"/>
          <w:lang w:eastAsia="el-GR"/>
        </w:rPr>
        <w:fldChar w:fldCharType="separate"/>
      </w:r>
      <w:r w:rsidR="002E7925">
        <w:rPr>
          <w:rFonts w:ascii="Verdana" w:hAnsi="Verdana" w:cs="Arial"/>
          <w:noProof/>
          <w:sz w:val="16"/>
          <w:szCs w:val="16"/>
          <w:lang w:eastAsia="el-GR"/>
        </w:rPr>
        <w:t>…………………………………………………………………………</w:t>
      </w:r>
      <w:r w:rsidR="002E7925">
        <w:rPr>
          <w:rFonts w:ascii="Verdana" w:hAnsi="Verdana" w:cs="Arial"/>
          <w:sz w:val="16"/>
          <w:szCs w:val="16"/>
          <w:lang w:eastAsia="el-GR"/>
        </w:rPr>
        <w:fldChar w:fldCharType="end"/>
      </w:r>
      <w:bookmarkEnd w:id="2"/>
      <w:r w:rsidR="002E3941" w:rsidRPr="009A3D49">
        <w:rPr>
          <w:rFonts w:ascii="Verdana" w:hAnsi="Verdana" w:cs="Arial"/>
          <w:sz w:val="16"/>
          <w:szCs w:val="16"/>
          <w:lang w:eastAsia="el-GR"/>
        </w:rPr>
        <w:t xml:space="preserve"> </w:t>
      </w:r>
      <w:r>
        <w:rPr>
          <w:rFonts w:ascii="Verdana" w:hAnsi="Verdana" w:cs="Arial"/>
          <w:sz w:val="16"/>
          <w:szCs w:val="16"/>
          <w:lang w:eastAsia="el-GR"/>
        </w:rPr>
        <w:t>having its seat in</w:t>
      </w:r>
      <w:r w:rsidR="002E3941" w:rsidRPr="009A3D49">
        <w:rPr>
          <w:rFonts w:ascii="Verdana" w:hAnsi="Verdana" w:cs="Arial"/>
          <w:sz w:val="16"/>
          <w:szCs w:val="16"/>
          <w:lang w:eastAsia="el-GR"/>
        </w:rPr>
        <w:t xml:space="preserve"> </w:t>
      </w:r>
      <w:bookmarkStart w:id="3" w:name="Text3"/>
      <w:r w:rsidR="002E7925">
        <w:rPr>
          <w:rFonts w:ascii="Verdana" w:hAnsi="Verdana" w:cs="Arial"/>
          <w:sz w:val="16"/>
          <w:szCs w:val="16"/>
          <w:lang w:eastAsia="el-GR"/>
        </w:rPr>
        <w:fldChar w:fldCharType="begin">
          <w:ffData>
            <w:name w:val="Text3"/>
            <w:enabled/>
            <w:calcOnExit w:val="0"/>
            <w:textInput>
              <w:default w:val="…………………………………………………………………………"/>
            </w:textInput>
          </w:ffData>
        </w:fldChar>
      </w:r>
      <w:r w:rsidR="002E7925">
        <w:rPr>
          <w:rFonts w:ascii="Verdana" w:hAnsi="Verdana" w:cs="Arial"/>
          <w:sz w:val="16"/>
          <w:szCs w:val="16"/>
          <w:lang w:eastAsia="el-GR"/>
        </w:rPr>
        <w:instrText xml:space="preserve"> FORMTEXT </w:instrText>
      </w:r>
      <w:r w:rsidR="00E93F4B" w:rsidRPr="002E7925">
        <w:rPr>
          <w:rFonts w:ascii="Verdana" w:hAnsi="Verdana" w:cs="Arial"/>
          <w:sz w:val="16"/>
          <w:szCs w:val="16"/>
          <w:lang w:eastAsia="el-GR"/>
        </w:rPr>
      </w:r>
      <w:r w:rsidR="002E7925">
        <w:rPr>
          <w:rFonts w:ascii="Verdana" w:hAnsi="Verdana" w:cs="Arial"/>
          <w:sz w:val="16"/>
          <w:szCs w:val="16"/>
          <w:lang w:eastAsia="el-GR"/>
        </w:rPr>
        <w:fldChar w:fldCharType="separate"/>
      </w:r>
      <w:r w:rsidR="002E7925">
        <w:rPr>
          <w:rFonts w:ascii="Verdana" w:hAnsi="Verdana" w:cs="Arial"/>
          <w:noProof/>
          <w:sz w:val="16"/>
          <w:szCs w:val="16"/>
          <w:lang w:eastAsia="el-GR"/>
        </w:rPr>
        <w:t>…………………………………………………………………………</w:t>
      </w:r>
      <w:r w:rsidR="002E7925">
        <w:rPr>
          <w:rFonts w:ascii="Verdana" w:hAnsi="Verdana" w:cs="Arial"/>
          <w:sz w:val="16"/>
          <w:szCs w:val="16"/>
          <w:lang w:eastAsia="el-GR"/>
        </w:rPr>
        <w:fldChar w:fldCharType="end"/>
      </w:r>
      <w:bookmarkEnd w:id="3"/>
      <w:r w:rsidR="002E3941" w:rsidRPr="009A3D49">
        <w:rPr>
          <w:rFonts w:ascii="Verdana" w:hAnsi="Verdana" w:cs="Arial"/>
          <w:sz w:val="16"/>
          <w:szCs w:val="16"/>
          <w:lang w:eastAsia="el-GR"/>
        </w:rPr>
        <w:t xml:space="preserve"> </w:t>
      </w:r>
      <w:r>
        <w:rPr>
          <w:rFonts w:ascii="Verdana" w:hAnsi="Verdana" w:cs="Arial"/>
          <w:sz w:val="16"/>
          <w:szCs w:val="16"/>
          <w:lang w:eastAsia="el-GR"/>
        </w:rPr>
        <w:t>TIN</w:t>
      </w:r>
      <w:r w:rsidR="002E3941" w:rsidRPr="009A3D49">
        <w:rPr>
          <w:rFonts w:ascii="Verdana" w:hAnsi="Verdana" w:cs="Arial"/>
          <w:sz w:val="16"/>
          <w:szCs w:val="16"/>
          <w:lang w:eastAsia="el-GR"/>
        </w:rPr>
        <w:t xml:space="preserve"> </w:t>
      </w:r>
      <w:bookmarkStart w:id="4" w:name="Text4"/>
      <w:r w:rsidR="003B139F">
        <w:rPr>
          <w:rFonts w:ascii="Verdana" w:hAnsi="Verdana" w:cs="Arial"/>
          <w:sz w:val="16"/>
          <w:szCs w:val="16"/>
          <w:lang w:eastAsia="el-GR"/>
        </w:rPr>
        <w:fldChar w:fldCharType="begin">
          <w:ffData>
            <w:name w:val="Text4"/>
            <w:enabled/>
            <w:calcOnExit w:val="0"/>
            <w:textInput>
              <w:default w:val="………………………………………………………………"/>
            </w:textInput>
          </w:ffData>
        </w:fldChar>
      </w:r>
      <w:r w:rsidR="003B139F">
        <w:rPr>
          <w:rFonts w:ascii="Verdana" w:hAnsi="Verdana" w:cs="Arial"/>
          <w:sz w:val="16"/>
          <w:szCs w:val="16"/>
          <w:lang w:eastAsia="el-GR"/>
        </w:rPr>
        <w:instrText xml:space="preserve"> FORMTEXT </w:instrText>
      </w:r>
      <w:r w:rsidR="00E93F4B" w:rsidRPr="003B139F">
        <w:rPr>
          <w:rFonts w:ascii="Verdana" w:hAnsi="Verdana" w:cs="Arial"/>
          <w:sz w:val="16"/>
          <w:szCs w:val="16"/>
          <w:lang w:eastAsia="el-GR"/>
        </w:rPr>
      </w:r>
      <w:r w:rsidR="003B139F">
        <w:rPr>
          <w:rFonts w:ascii="Verdana" w:hAnsi="Verdana" w:cs="Arial"/>
          <w:sz w:val="16"/>
          <w:szCs w:val="16"/>
          <w:lang w:eastAsia="el-GR"/>
        </w:rPr>
        <w:fldChar w:fldCharType="separate"/>
      </w:r>
      <w:r w:rsidR="003B139F">
        <w:rPr>
          <w:rFonts w:ascii="Verdana" w:hAnsi="Verdana" w:cs="Arial"/>
          <w:noProof/>
          <w:sz w:val="16"/>
          <w:szCs w:val="16"/>
          <w:lang w:eastAsia="el-GR"/>
        </w:rPr>
        <w:t>………………………………………………………………</w:t>
      </w:r>
      <w:r w:rsidR="003B139F">
        <w:rPr>
          <w:rFonts w:ascii="Verdana" w:hAnsi="Verdana" w:cs="Arial"/>
          <w:sz w:val="16"/>
          <w:szCs w:val="16"/>
          <w:lang w:eastAsia="el-GR"/>
        </w:rPr>
        <w:fldChar w:fldCharType="end"/>
      </w:r>
      <w:bookmarkEnd w:id="4"/>
      <w:r w:rsidR="002E3941" w:rsidRPr="009A3D49">
        <w:rPr>
          <w:rFonts w:ascii="Verdana" w:hAnsi="Verdana" w:cs="Arial"/>
          <w:sz w:val="16"/>
          <w:szCs w:val="16"/>
          <w:lang w:eastAsia="el-GR"/>
        </w:rPr>
        <w:t xml:space="preserve"> </w:t>
      </w:r>
      <w:r>
        <w:rPr>
          <w:rFonts w:ascii="Verdana" w:hAnsi="Verdana" w:cs="Arial"/>
          <w:sz w:val="16"/>
          <w:szCs w:val="16"/>
          <w:lang w:eastAsia="el-GR"/>
        </w:rPr>
        <w:t>duly represented for the signature hereof by Mr/Mrs.</w:t>
      </w:r>
      <w:r w:rsidRPr="009A3D49">
        <w:rPr>
          <w:rFonts w:ascii="Verdana" w:hAnsi="Verdana" w:cs="Arial"/>
          <w:sz w:val="16"/>
          <w:szCs w:val="16"/>
          <w:lang w:eastAsia="el-GR"/>
        </w:rPr>
        <w:t xml:space="preserve"> </w:t>
      </w:r>
      <w:bookmarkStart w:id="5" w:name="Text5"/>
      <w:r w:rsidR="002E7925">
        <w:rPr>
          <w:rFonts w:ascii="Verdana" w:hAnsi="Verdana" w:cs="Arial"/>
          <w:sz w:val="16"/>
          <w:szCs w:val="16"/>
          <w:lang w:eastAsia="el-GR"/>
        </w:rPr>
        <w:fldChar w:fldCharType="begin">
          <w:ffData>
            <w:name w:val="Text5"/>
            <w:enabled/>
            <w:calcOnExit w:val="0"/>
            <w:textInput>
              <w:default w:val="………………………………………………………………………"/>
            </w:textInput>
          </w:ffData>
        </w:fldChar>
      </w:r>
      <w:r w:rsidR="002E7925">
        <w:rPr>
          <w:rFonts w:ascii="Verdana" w:hAnsi="Verdana" w:cs="Arial"/>
          <w:sz w:val="16"/>
          <w:szCs w:val="16"/>
          <w:lang w:eastAsia="el-GR"/>
        </w:rPr>
        <w:instrText xml:space="preserve"> FORMTEXT </w:instrText>
      </w:r>
      <w:r w:rsidR="00E93F4B" w:rsidRPr="002E7925">
        <w:rPr>
          <w:rFonts w:ascii="Verdana" w:hAnsi="Verdana" w:cs="Arial"/>
          <w:sz w:val="16"/>
          <w:szCs w:val="16"/>
          <w:lang w:eastAsia="el-GR"/>
        </w:rPr>
      </w:r>
      <w:r w:rsidR="002E7925">
        <w:rPr>
          <w:rFonts w:ascii="Verdana" w:hAnsi="Verdana" w:cs="Arial"/>
          <w:sz w:val="16"/>
          <w:szCs w:val="16"/>
          <w:lang w:eastAsia="el-GR"/>
        </w:rPr>
        <w:fldChar w:fldCharType="separate"/>
      </w:r>
      <w:r w:rsidR="002E7925">
        <w:rPr>
          <w:rFonts w:ascii="Verdana" w:hAnsi="Verdana" w:cs="Arial"/>
          <w:noProof/>
          <w:sz w:val="16"/>
          <w:szCs w:val="16"/>
          <w:lang w:eastAsia="el-GR"/>
        </w:rPr>
        <w:t>………………………………………………………………………</w:t>
      </w:r>
      <w:r w:rsidR="002E7925">
        <w:rPr>
          <w:rFonts w:ascii="Verdana" w:hAnsi="Verdana" w:cs="Arial"/>
          <w:sz w:val="16"/>
          <w:szCs w:val="16"/>
          <w:lang w:eastAsia="el-GR"/>
        </w:rPr>
        <w:fldChar w:fldCharType="end"/>
      </w:r>
      <w:bookmarkEnd w:id="5"/>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having the capacity of </w:t>
      </w:r>
      <w:r w:rsidR="00D55A8B">
        <w:rPr>
          <w:rFonts w:ascii="Verdana" w:hAnsi="Verdana" w:cs="Arial"/>
          <w:sz w:val="16"/>
          <w:szCs w:val="16"/>
          <w:lang w:val="en-US" w:eastAsia="el-GR"/>
        </w:rPr>
        <w:t>Direct Member</w:t>
      </w:r>
      <w:r>
        <w:rPr>
          <w:rFonts w:ascii="Verdana" w:hAnsi="Verdana" w:cs="Arial"/>
          <w:sz w:val="16"/>
          <w:szCs w:val="16"/>
          <w:lang w:eastAsia="el-GR"/>
        </w:rPr>
        <w:t xml:space="preserve"> in </w:t>
      </w:r>
      <w:r w:rsidR="002E3941" w:rsidRPr="009A3D49">
        <w:rPr>
          <w:rFonts w:ascii="Verdana" w:hAnsi="Verdana" w:cs="Arial"/>
          <w:sz w:val="16"/>
          <w:szCs w:val="16"/>
          <w:lang w:eastAsia="el-GR"/>
        </w:rPr>
        <w:t xml:space="preserve">TARGET2 </w:t>
      </w:r>
      <w:r>
        <w:rPr>
          <w:rFonts w:ascii="Verdana" w:hAnsi="Verdana" w:cs="Arial"/>
          <w:sz w:val="16"/>
          <w:szCs w:val="16"/>
          <w:lang w:eastAsia="el-GR"/>
        </w:rPr>
        <w:t>and acting as Settlement Bank, as specifically set out hereinbelow</w:t>
      </w:r>
      <w:r w:rsidR="002E3941" w:rsidRPr="009A3D49">
        <w:rPr>
          <w:rFonts w:ascii="Verdana" w:hAnsi="Verdana" w:cs="Arial"/>
          <w:sz w:val="16"/>
          <w:szCs w:val="16"/>
          <w:lang w:eastAsia="el-GR"/>
        </w:rPr>
        <w:t xml:space="preserve"> (</w:t>
      </w:r>
      <w:r>
        <w:rPr>
          <w:rFonts w:ascii="Verdana" w:hAnsi="Verdana" w:cs="Arial"/>
          <w:sz w:val="16"/>
          <w:szCs w:val="16"/>
          <w:lang w:eastAsia="el-GR"/>
        </w:rPr>
        <w:t>hereinafter referred to as the Settlement Bank</w:t>
      </w:r>
      <w:r w:rsidR="002E3941" w:rsidRPr="009A3D49">
        <w:rPr>
          <w:rFonts w:ascii="Verdana" w:hAnsi="Verdana" w:cs="Arial"/>
          <w:sz w:val="16"/>
          <w:szCs w:val="16"/>
          <w:lang w:eastAsia="el-GR"/>
        </w:rPr>
        <w:t xml:space="preserve">), </w:t>
      </w:r>
    </w:p>
    <w:p w:rsidR="002E3941" w:rsidRPr="009A3D49" w:rsidRDefault="00CA2186" w:rsidP="002E3941">
      <w:pPr>
        <w:spacing w:before="120" w:after="120" w:line="240" w:lineRule="atLeast"/>
        <w:jc w:val="both"/>
        <w:rPr>
          <w:rFonts w:ascii="Verdana" w:hAnsi="Verdana" w:cs="Arial"/>
          <w:sz w:val="16"/>
          <w:szCs w:val="16"/>
          <w:lang w:eastAsia="el-GR"/>
        </w:rPr>
      </w:pPr>
      <w:r>
        <w:rPr>
          <w:rFonts w:ascii="Verdana" w:hAnsi="Verdana" w:cs="Arial"/>
          <w:b/>
          <w:sz w:val="16"/>
          <w:szCs w:val="16"/>
          <w:lang w:eastAsia="el-GR"/>
        </w:rPr>
        <w:t>Taking into Account</w:t>
      </w:r>
      <w:r w:rsidR="002E3941" w:rsidRPr="009A3D49">
        <w:rPr>
          <w:rFonts w:ascii="Verdana" w:hAnsi="Verdana" w:cs="Arial"/>
          <w:b/>
          <w:sz w:val="16"/>
          <w:szCs w:val="16"/>
          <w:lang w:eastAsia="el-GR"/>
        </w:rPr>
        <w:t xml:space="preserve">: </w:t>
      </w:r>
      <w:r w:rsidR="002E3941" w:rsidRPr="009A3D49">
        <w:rPr>
          <w:rFonts w:ascii="Verdana" w:hAnsi="Verdana" w:cs="Arial"/>
          <w:sz w:val="16"/>
          <w:szCs w:val="16"/>
          <w:lang w:eastAsia="el-GR"/>
        </w:rPr>
        <w:t xml:space="preserve">  </w:t>
      </w:r>
    </w:p>
    <w:p w:rsidR="002E3941" w:rsidRPr="009A3D49" w:rsidRDefault="00CA2186" w:rsidP="00AE3A95">
      <w:pPr>
        <w:numPr>
          <w:ilvl w:val="0"/>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 xml:space="preserve">Guideline EC/2007/2 </w:t>
      </w:r>
      <w:r w:rsidRPr="00BE3EB8">
        <w:rPr>
          <w:rFonts w:ascii="Verdana" w:hAnsi="Verdana" w:cs="Arial"/>
          <w:sz w:val="16"/>
          <w:szCs w:val="16"/>
          <w:lang w:eastAsia="el-GR"/>
        </w:rPr>
        <w:t>“</w:t>
      </w:r>
      <w:r w:rsidRPr="00BE3EB8">
        <w:rPr>
          <w:rFonts w:ascii="Verdana" w:hAnsi="Verdana"/>
          <w:sz w:val="16"/>
          <w:szCs w:val="16"/>
        </w:rPr>
        <w:t>Trans-Euro</w:t>
      </w:r>
      <w:r w:rsidR="00AC001E">
        <w:rPr>
          <w:rFonts w:ascii="Verdana" w:hAnsi="Verdana"/>
          <w:sz w:val="16"/>
          <w:szCs w:val="16"/>
        </w:rPr>
        <w:t>pean Automated Real-time Gross Settlement Express Transfer S</w:t>
      </w:r>
      <w:r w:rsidRPr="00BE3EB8">
        <w:rPr>
          <w:rFonts w:ascii="Verdana" w:hAnsi="Verdana"/>
          <w:sz w:val="16"/>
          <w:szCs w:val="16"/>
        </w:rPr>
        <w:t>ystem</w:t>
      </w:r>
      <w:r w:rsidR="002E3941" w:rsidRPr="00BE3EB8">
        <w:rPr>
          <w:rFonts w:ascii="Verdana" w:hAnsi="Verdana" w:cs="Arial"/>
          <w:sz w:val="16"/>
          <w:szCs w:val="16"/>
          <w:lang w:eastAsia="el-GR"/>
        </w:rPr>
        <w:t xml:space="preserve"> (TARGET2)</w:t>
      </w:r>
      <w:r w:rsidRPr="00BE3EB8">
        <w:rPr>
          <w:rFonts w:ascii="Verdana" w:hAnsi="Verdana" w:cs="Arial"/>
          <w:sz w:val="16"/>
          <w:szCs w:val="16"/>
          <w:lang w:eastAsia="el-GR"/>
        </w:rPr>
        <w:t>”</w:t>
      </w:r>
      <w:r w:rsidR="00EA7085">
        <w:rPr>
          <w:rFonts w:ascii="Verdana" w:hAnsi="Verdana" w:cs="Arial"/>
          <w:sz w:val="16"/>
          <w:szCs w:val="16"/>
          <w:lang w:eastAsia="el-GR"/>
        </w:rPr>
        <w:t xml:space="preserve"> (Target2 Guidelines)</w:t>
      </w:r>
    </w:p>
    <w:p w:rsidR="00351D53" w:rsidRPr="009A3D49" w:rsidRDefault="00BE3EB8" w:rsidP="00AE3A95">
      <w:pPr>
        <w:numPr>
          <w:ilvl w:val="0"/>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The Regulations regarding the Operation of the</w:t>
      </w:r>
      <w:r w:rsidRPr="00BE3EB8">
        <w:rPr>
          <w:rFonts w:ascii="Verdana" w:hAnsi="Verdana"/>
          <w:sz w:val="16"/>
          <w:szCs w:val="16"/>
        </w:rPr>
        <w:t xml:space="preserve"> </w:t>
      </w:r>
      <w:r w:rsidR="007D155D">
        <w:rPr>
          <w:rFonts w:ascii="Verdana" w:hAnsi="Verdana"/>
          <w:sz w:val="16"/>
          <w:szCs w:val="16"/>
        </w:rPr>
        <w:t>Real</w:t>
      </w:r>
      <w:r w:rsidR="00AC001E">
        <w:rPr>
          <w:rFonts w:ascii="Verdana" w:hAnsi="Verdana"/>
          <w:sz w:val="16"/>
          <w:szCs w:val="16"/>
        </w:rPr>
        <w:t>-time Gross Settlement Express Transfer S</w:t>
      </w:r>
      <w:r w:rsidRPr="00BE3EB8">
        <w:rPr>
          <w:rFonts w:ascii="Verdana" w:hAnsi="Verdana"/>
          <w:sz w:val="16"/>
          <w:szCs w:val="16"/>
        </w:rPr>
        <w:t>ystem</w:t>
      </w:r>
      <w:r>
        <w:rPr>
          <w:rFonts w:ascii="Verdana" w:hAnsi="Verdana" w:cs="Arial"/>
          <w:sz w:val="16"/>
          <w:szCs w:val="16"/>
          <w:lang w:eastAsia="el-GR"/>
        </w:rPr>
        <w:t xml:space="preserve"> </w:t>
      </w:r>
      <w:r w:rsidR="002E3941" w:rsidRPr="009A3D49">
        <w:rPr>
          <w:rFonts w:ascii="Verdana" w:hAnsi="Verdana" w:cs="Arial"/>
          <w:sz w:val="16"/>
          <w:szCs w:val="16"/>
          <w:u w:val="single"/>
          <w:lang w:eastAsia="el-GR"/>
        </w:rPr>
        <w:t xml:space="preserve">TARGET2-GR </w:t>
      </w:r>
      <w:r>
        <w:rPr>
          <w:rFonts w:ascii="Verdana" w:hAnsi="Verdana" w:cs="Arial"/>
          <w:sz w:val="16"/>
          <w:szCs w:val="16"/>
          <w:lang w:eastAsia="el-GR"/>
        </w:rPr>
        <w:t>dated</w:t>
      </w:r>
      <w:r w:rsidRPr="009A3D49">
        <w:rPr>
          <w:rFonts w:ascii="Verdana" w:hAnsi="Verdana" w:cs="Arial"/>
          <w:sz w:val="16"/>
          <w:szCs w:val="16"/>
          <w:lang w:eastAsia="el-GR"/>
        </w:rPr>
        <w:t xml:space="preserve"> 8/3/2008 </w:t>
      </w:r>
      <w:r>
        <w:rPr>
          <w:rFonts w:ascii="Verdana" w:hAnsi="Verdana" w:cs="Arial"/>
          <w:sz w:val="16"/>
          <w:szCs w:val="16"/>
          <w:lang w:eastAsia="el-GR"/>
        </w:rPr>
        <w:t>(hereinafter referred to as the “</w:t>
      </w:r>
      <w:r w:rsidR="002E3941" w:rsidRPr="009A3D49">
        <w:rPr>
          <w:rFonts w:ascii="Verdana" w:hAnsi="Verdana" w:cs="Arial"/>
          <w:sz w:val="16"/>
          <w:szCs w:val="16"/>
          <w:lang w:eastAsia="el-GR"/>
        </w:rPr>
        <w:t>TARGET2-GR</w:t>
      </w:r>
      <w:r>
        <w:rPr>
          <w:rFonts w:ascii="Verdana" w:hAnsi="Verdana" w:cs="Arial"/>
          <w:sz w:val="16"/>
          <w:szCs w:val="16"/>
          <w:lang w:eastAsia="el-GR"/>
        </w:rPr>
        <w:t xml:space="preserve"> </w:t>
      </w:r>
      <w:r w:rsidR="002B3DFB">
        <w:rPr>
          <w:rFonts w:ascii="Verdana" w:hAnsi="Verdana" w:cs="Arial"/>
          <w:sz w:val="16"/>
          <w:szCs w:val="16"/>
          <w:lang w:eastAsia="el-GR"/>
        </w:rPr>
        <w:t>Operating Regulations”</w:t>
      </w:r>
      <w:r w:rsidR="002E3941" w:rsidRPr="009A3D49">
        <w:rPr>
          <w:rFonts w:ascii="Verdana" w:hAnsi="Verdana" w:cs="Arial"/>
          <w:sz w:val="16"/>
          <w:szCs w:val="16"/>
          <w:lang w:eastAsia="el-GR"/>
        </w:rPr>
        <w:t>)</w:t>
      </w:r>
      <w:r w:rsidR="007F283B">
        <w:rPr>
          <w:rFonts w:ascii="Verdana" w:hAnsi="Verdana" w:cs="Arial"/>
          <w:sz w:val="16"/>
          <w:szCs w:val="16"/>
          <w:lang w:eastAsia="el-GR"/>
        </w:rPr>
        <w:t xml:space="preserve"> </w:t>
      </w:r>
      <w:bookmarkStart w:id="6" w:name="OLE_LINK1"/>
      <w:r w:rsidR="007F283B">
        <w:rPr>
          <w:rFonts w:ascii="Verdana" w:hAnsi="Verdana" w:cs="Arial"/>
          <w:sz w:val="16"/>
          <w:szCs w:val="16"/>
          <w:lang w:eastAsia="el-GR"/>
        </w:rPr>
        <w:t>which guides the operation of HELEX</w:t>
      </w:r>
      <w:r w:rsidR="00EA7085">
        <w:rPr>
          <w:rFonts w:ascii="Verdana" w:hAnsi="Verdana" w:cs="Arial"/>
          <w:sz w:val="16"/>
          <w:szCs w:val="16"/>
          <w:lang w:eastAsia="el-GR"/>
        </w:rPr>
        <w:t>’s ancilla</w:t>
      </w:r>
      <w:r w:rsidR="007F283B">
        <w:rPr>
          <w:rFonts w:ascii="Verdana" w:hAnsi="Verdana" w:cs="Arial"/>
          <w:sz w:val="16"/>
          <w:szCs w:val="16"/>
          <w:lang w:eastAsia="el-GR"/>
        </w:rPr>
        <w:t>ry</w:t>
      </w:r>
      <w:r w:rsidR="00EA7085">
        <w:rPr>
          <w:rFonts w:ascii="Verdana" w:hAnsi="Verdana" w:cs="Arial"/>
          <w:sz w:val="16"/>
          <w:szCs w:val="16"/>
          <w:lang w:eastAsia="el-GR"/>
        </w:rPr>
        <w:t xml:space="preserve"> system</w:t>
      </w:r>
      <w:bookmarkEnd w:id="6"/>
    </w:p>
    <w:p w:rsidR="002E3941" w:rsidRPr="009A3D49" w:rsidRDefault="0044370E" w:rsidP="00AE3A95">
      <w:pPr>
        <w:numPr>
          <w:ilvl w:val="0"/>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 xml:space="preserve">The fact that HELEX, acting as Central Securities Depository and DSS Administrator, according to article 39 foll. of law </w:t>
      </w:r>
      <w:r w:rsidR="002E3941" w:rsidRPr="009A3D49">
        <w:rPr>
          <w:rFonts w:ascii="Verdana" w:hAnsi="Verdana" w:cs="Arial"/>
          <w:sz w:val="16"/>
          <w:szCs w:val="16"/>
          <w:lang w:eastAsia="el-GR"/>
        </w:rPr>
        <w:t>2396/1996,</w:t>
      </w:r>
      <w:r w:rsidR="00366BC9">
        <w:rPr>
          <w:rFonts w:ascii="Verdana" w:hAnsi="Verdana" w:cs="Arial"/>
          <w:sz w:val="16"/>
          <w:szCs w:val="16"/>
          <w:lang w:eastAsia="el-GR"/>
        </w:rPr>
        <w:t xml:space="preserve"> article</w:t>
      </w:r>
      <w:r w:rsidR="002E3941" w:rsidRPr="009A3D49">
        <w:rPr>
          <w:rFonts w:ascii="Verdana" w:hAnsi="Verdana" w:cs="Arial"/>
          <w:sz w:val="16"/>
          <w:szCs w:val="16"/>
          <w:lang w:eastAsia="el-GR"/>
        </w:rPr>
        <w:t xml:space="preserve"> 83 </w:t>
      </w:r>
      <w:r>
        <w:rPr>
          <w:rFonts w:ascii="Verdana" w:hAnsi="Verdana" w:cs="Arial"/>
          <w:sz w:val="16"/>
          <w:szCs w:val="16"/>
          <w:lang w:eastAsia="el-GR"/>
        </w:rPr>
        <w:t>§</w:t>
      </w:r>
      <w:r w:rsidR="002E3941" w:rsidRPr="009A3D49">
        <w:rPr>
          <w:rFonts w:ascii="Verdana" w:hAnsi="Verdana" w:cs="Arial"/>
          <w:sz w:val="16"/>
          <w:szCs w:val="16"/>
          <w:lang w:eastAsia="el-GR"/>
        </w:rPr>
        <w:t xml:space="preserve"> 4 </w:t>
      </w:r>
      <w:r>
        <w:rPr>
          <w:rFonts w:ascii="Verdana" w:hAnsi="Verdana" w:cs="Arial"/>
          <w:sz w:val="16"/>
          <w:szCs w:val="16"/>
          <w:lang w:eastAsia="el-GR"/>
        </w:rPr>
        <w:t>and</w:t>
      </w:r>
      <w:r w:rsidR="002E3941" w:rsidRPr="009A3D49">
        <w:rPr>
          <w:rFonts w:ascii="Verdana" w:hAnsi="Verdana" w:cs="Arial"/>
          <w:sz w:val="16"/>
          <w:szCs w:val="16"/>
          <w:lang w:eastAsia="el-GR"/>
        </w:rPr>
        <w:t xml:space="preserve"> 5 </w:t>
      </w:r>
      <w:r>
        <w:rPr>
          <w:rFonts w:ascii="Verdana" w:hAnsi="Verdana" w:cs="Arial"/>
          <w:sz w:val="16"/>
          <w:szCs w:val="16"/>
          <w:lang w:eastAsia="el-GR"/>
        </w:rPr>
        <w:t>of law</w:t>
      </w:r>
      <w:r w:rsidR="002E3941" w:rsidRPr="009A3D49">
        <w:rPr>
          <w:rFonts w:ascii="Verdana" w:hAnsi="Verdana" w:cs="Arial"/>
          <w:sz w:val="16"/>
          <w:szCs w:val="16"/>
          <w:lang w:eastAsia="el-GR"/>
        </w:rPr>
        <w:t xml:space="preserve"> 3606/2007 </w:t>
      </w:r>
      <w:r>
        <w:rPr>
          <w:rFonts w:ascii="Verdana" w:hAnsi="Verdana" w:cs="Arial"/>
          <w:sz w:val="16"/>
          <w:szCs w:val="16"/>
          <w:lang w:eastAsia="el-GR"/>
        </w:rPr>
        <w:t>and</w:t>
      </w:r>
      <w:r w:rsidR="002E3941" w:rsidRPr="009A3D49">
        <w:rPr>
          <w:rFonts w:ascii="Verdana" w:hAnsi="Verdana" w:cs="Arial"/>
          <w:sz w:val="16"/>
          <w:szCs w:val="16"/>
          <w:lang w:eastAsia="el-GR"/>
        </w:rPr>
        <w:t xml:space="preserve"> 1 </w:t>
      </w:r>
      <w:r>
        <w:rPr>
          <w:rFonts w:ascii="Verdana" w:hAnsi="Verdana" w:cs="Arial"/>
          <w:sz w:val="16"/>
          <w:szCs w:val="16"/>
          <w:lang w:eastAsia="el-GR"/>
        </w:rPr>
        <w:t>through</w:t>
      </w:r>
      <w:r w:rsidR="002E3941" w:rsidRPr="009A3D49">
        <w:rPr>
          <w:rFonts w:ascii="Verdana" w:hAnsi="Verdana" w:cs="Arial"/>
          <w:sz w:val="16"/>
          <w:szCs w:val="16"/>
          <w:lang w:eastAsia="el-GR"/>
        </w:rPr>
        <w:t xml:space="preserve"> 7</w:t>
      </w:r>
      <w:r>
        <w:rPr>
          <w:rFonts w:ascii="Verdana" w:hAnsi="Verdana" w:cs="Arial"/>
          <w:sz w:val="16"/>
          <w:szCs w:val="16"/>
          <w:lang w:eastAsia="el-GR"/>
        </w:rPr>
        <w:t xml:space="preserve"> of law</w:t>
      </w:r>
      <w:r w:rsidR="002E3941" w:rsidRPr="009A3D49">
        <w:rPr>
          <w:rFonts w:ascii="Verdana" w:hAnsi="Verdana" w:cs="Arial"/>
          <w:sz w:val="16"/>
          <w:szCs w:val="16"/>
          <w:lang w:eastAsia="el-GR"/>
        </w:rPr>
        <w:t xml:space="preserve"> 3756/2009, </w:t>
      </w:r>
      <w:r>
        <w:rPr>
          <w:rFonts w:ascii="Verdana" w:hAnsi="Verdana" w:cs="Arial"/>
          <w:sz w:val="16"/>
          <w:szCs w:val="16"/>
          <w:lang w:eastAsia="el-GR"/>
        </w:rPr>
        <w:t>carries out the settlement of trades</w:t>
      </w:r>
      <w:r w:rsidR="0001742D">
        <w:rPr>
          <w:rFonts w:ascii="Verdana" w:hAnsi="Verdana" w:cs="Arial"/>
          <w:sz w:val="16"/>
          <w:szCs w:val="16"/>
          <w:lang w:eastAsia="el-GR"/>
        </w:rPr>
        <w:t xml:space="preserve"> in ATHEX and OTC on transferable securities and/or derivatives within the framework of the provision of relevant services to the participants as Operators of the Dematerialised Securities System (DSS) of law </w:t>
      </w:r>
      <w:r w:rsidR="002E3941" w:rsidRPr="009A3D49">
        <w:rPr>
          <w:rFonts w:ascii="Verdana" w:hAnsi="Verdana" w:cs="Arial"/>
          <w:sz w:val="16"/>
          <w:szCs w:val="16"/>
          <w:lang w:eastAsia="el-GR"/>
        </w:rPr>
        <w:t xml:space="preserve">3756/2009, </w:t>
      </w:r>
      <w:r w:rsidR="00366BC9">
        <w:rPr>
          <w:rFonts w:ascii="Verdana" w:hAnsi="Verdana" w:cs="Arial"/>
          <w:sz w:val="16"/>
          <w:szCs w:val="16"/>
          <w:lang w:eastAsia="el-GR"/>
        </w:rPr>
        <w:t>including, as such, the market administrators, and the administrators of central counterparty systems</w:t>
      </w:r>
      <w:r w:rsidR="002E3941" w:rsidRPr="009A3D49">
        <w:rPr>
          <w:rFonts w:ascii="Verdana" w:hAnsi="Verdana" w:cs="Arial"/>
          <w:sz w:val="16"/>
          <w:szCs w:val="16"/>
          <w:lang w:eastAsia="el-GR"/>
        </w:rPr>
        <w:t xml:space="preserve">, </w:t>
      </w:r>
      <w:r w:rsidR="00366BC9">
        <w:rPr>
          <w:rFonts w:ascii="Verdana" w:hAnsi="Verdana" w:cs="Arial"/>
          <w:sz w:val="16"/>
          <w:szCs w:val="16"/>
          <w:lang w:eastAsia="el-GR"/>
        </w:rPr>
        <w:t>clearing and settlement as well as the foreign central depositories connected with the DSS.</w:t>
      </w:r>
      <w:r w:rsidR="002E3941" w:rsidRPr="009A3D49">
        <w:rPr>
          <w:rFonts w:ascii="Verdana" w:hAnsi="Verdana" w:cs="Arial"/>
          <w:sz w:val="16"/>
          <w:szCs w:val="16"/>
          <w:lang w:eastAsia="el-GR"/>
        </w:rPr>
        <w:t xml:space="preserve">  </w:t>
      </w:r>
    </w:p>
    <w:p w:rsidR="002E3941" w:rsidRPr="009A3D49" w:rsidRDefault="00E91F73" w:rsidP="00AE3A95">
      <w:pPr>
        <w:numPr>
          <w:ilvl w:val="0"/>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 xml:space="preserve">The fact that the cash settlement of trades settled, according to the above (under 3) by HELEX shall be carried out through </w:t>
      </w:r>
      <w:r w:rsidR="002E3941" w:rsidRPr="009A3D49">
        <w:rPr>
          <w:rFonts w:ascii="Verdana" w:hAnsi="Verdana" w:cs="Arial"/>
          <w:sz w:val="16"/>
          <w:szCs w:val="16"/>
          <w:lang w:eastAsia="el-GR"/>
        </w:rPr>
        <w:t>TARGET2-GR (</w:t>
      </w:r>
      <w:r>
        <w:rPr>
          <w:rFonts w:ascii="Verdana" w:hAnsi="Verdana" w:cs="Arial"/>
          <w:sz w:val="16"/>
          <w:szCs w:val="16"/>
          <w:lang w:eastAsia="el-GR"/>
        </w:rPr>
        <w:t xml:space="preserve">as </w:t>
      </w:r>
      <w:r>
        <w:rPr>
          <w:rFonts w:ascii="Verdana" w:hAnsi="Verdana" w:cs="Arial"/>
          <w:sz w:val="16"/>
          <w:szCs w:val="16"/>
          <w:lang w:val="en-US" w:eastAsia="el-GR"/>
        </w:rPr>
        <w:t>component of</w:t>
      </w:r>
      <w:r w:rsidR="002E3941" w:rsidRPr="009A3D49">
        <w:rPr>
          <w:rFonts w:ascii="Verdana" w:hAnsi="Verdana" w:cs="Arial"/>
          <w:sz w:val="16"/>
          <w:szCs w:val="16"/>
          <w:lang w:eastAsia="el-GR"/>
        </w:rPr>
        <w:t xml:space="preserve"> TARGET2), </w:t>
      </w:r>
      <w:r>
        <w:rPr>
          <w:rFonts w:ascii="Verdana" w:hAnsi="Verdana" w:cs="Arial"/>
          <w:sz w:val="16"/>
          <w:szCs w:val="16"/>
          <w:lang w:eastAsia="el-GR"/>
        </w:rPr>
        <w:t>which is operated by the Bank of Greece</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according to the </w:t>
      </w:r>
      <w:r w:rsidR="00236DB0">
        <w:rPr>
          <w:rFonts w:ascii="Verdana" w:hAnsi="Verdana" w:cs="Arial"/>
          <w:sz w:val="16"/>
          <w:szCs w:val="16"/>
          <w:lang w:eastAsia="el-GR"/>
        </w:rPr>
        <w:t>provision</w:t>
      </w:r>
      <w:r>
        <w:rPr>
          <w:rFonts w:ascii="Verdana" w:hAnsi="Verdana" w:cs="Arial"/>
          <w:sz w:val="16"/>
          <w:szCs w:val="16"/>
          <w:lang w:eastAsia="el-GR"/>
        </w:rPr>
        <w:t xml:space="preserve">s of the </w:t>
      </w:r>
      <w:r w:rsidR="002E3941" w:rsidRPr="009A3D49">
        <w:rPr>
          <w:rFonts w:ascii="Verdana" w:hAnsi="Verdana" w:cs="Arial"/>
          <w:sz w:val="16"/>
          <w:szCs w:val="16"/>
          <w:lang w:eastAsia="el-GR"/>
        </w:rPr>
        <w:t>TARGET2-GR</w:t>
      </w:r>
      <w:r w:rsidR="00781B69" w:rsidRPr="00781B69">
        <w:rPr>
          <w:rFonts w:ascii="Verdana" w:hAnsi="Verdana" w:cs="Arial"/>
          <w:sz w:val="16"/>
          <w:szCs w:val="16"/>
          <w:lang w:eastAsia="el-GR"/>
        </w:rPr>
        <w:t xml:space="preserve"> </w:t>
      </w:r>
      <w:r w:rsidR="00781B69">
        <w:rPr>
          <w:rFonts w:ascii="Verdana" w:hAnsi="Verdana" w:cs="Arial"/>
          <w:sz w:val="16"/>
          <w:szCs w:val="16"/>
          <w:lang w:eastAsia="el-GR"/>
        </w:rPr>
        <w:t>Operating Regulations</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as well as that HELEX’s relevant settlement system, which is </w:t>
      </w:r>
      <w:r w:rsidR="002509E7">
        <w:rPr>
          <w:rFonts w:ascii="Verdana" w:hAnsi="Verdana" w:cs="Arial"/>
          <w:sz w:val="16"/>
          <w:szCs w:val="16"/>
          <w:lang w:eastAsia="el-GR"/>
        </w:rPr>
        <w:t xml:space="preserve">the “ancillary system” in the sense of the </w:t>
      </w:r>
      <w:r w:rsidR="002E3941" w:rsidRPr="009A3D49">
        <w:rPr>
          <w:rFonts w:ascii="Verdana" w:hAnsi="Verdana" w:cs="Arial"/>
          <w:sz w:val="16"/>
          <w:szCs w:val="16"/>
          <w:lang w:eastAsia="el-GR"/>
        </w:rPr>
        <w:t xml:space="preserve">TARGET2-GR </w:t>
      </w:r>
      <w:r w:rsidR="00781B69">
        <w:rPr>
          <w:rFonts w:ascii="Verdana" w:hAnsi="Verdana" w:cs="Arial"/>
          <w:sz w:val="16"/>
          <w:szCs w:val="16"/>
          <w:lang w:eastAsia="el-GR"/>
        </w:rPr>
        <w:t>Operating Regulations</w:t>
      </w:r>
      <w:r w:rsidR="00781B69" w:rsidRPr="009A3D49">
        <w:rPr>
          <w:rFonts w:ascii="Verdana" w:hAnsi="Verdana" w:cs="Arial"/>
          <w:sz w:val="16"/>
          <w:szCs w:val="16"/>
          <w:lang w:eastAsia="el-GR"/>
        </w:rPr>
        <w:t xml:space="preserve"> </w:t>
      </w:r>
      <w:r w:rsidR="002E3941" w:rsidRPr="009A3D49">
        <w:rPr>
          <w:rFonts w:ascii="Verdana" w:hAnsi="Verdana" w:cs="Arial"/>
          <w:sz w:val="16"/>
          <w:szCs w:val="16"/>
          <w:lang w:eastAsia="el-GR"/>
        </w:rPr>
        <w:t>(</w:t>
      </w:r>
      <w:r w:rsidR="002509E7">
        <w:rPr>
          <w:rFonts w:ascii="Verdana" w:hAnsi="Verdana" w:cs="Arial"/>
          <w:sz w:val="16"/>
          <w:szCs w:val="16"/>
          <w:lang w:eastAsia="el-GR"/>
        </w:rPr>
        <w:t>hereinafter referred to as</w:t>
      </w:r>
      <w:r w:rsidR="002E3941" w:rsidRPr="009A3D49">
        <w:rPr>
          <w:rFonts w:ascii="Verdana" w:hAnsi="Verdana" w:cs="Arial"/>
          <w:sz w:val="16"/>
          <w:szCs w:val="16"/>
          <w:lang w:eastAsia="el-GR"/>
        </w:rPr>
        <w:t xml:space="preserve"> </w:t>
      </w:r>
      <w:r w:rsidR="002509E7">
        <w:rPr>
          <w:rFonts w:ascii="Verdana" w:hAnsi="Verdana" w:cs="Arial"/>
          <w:sz w:val="16"/>
          <w:szCs w:val="16"/>
          <w:lang w:eastAsia="el-GR"/>
        </w:rPr>
        <w:t>“HELEX’s Ancillary System”</w:t>
      </w:r>
      <w:r w:rsidR="002E3941" w:rsidRPr="009A3D49">
        <w:rPr>
          <w:rFonts w:ascii="Verdana" w:hAnsi="Verdana" w:cs="Arial"/>
          <w:sz w:val="16"/>
          <w:szCs w:val="16"/>
          <w:lang w:eastAsia="el-GR"/>
        </w:rPr>
        <w:t xml:space="preserve">), </w:t>
      </w:r>
      <w:r w:rsidR="002509E7">
        <w:rPr>
          <w:rFonts w:ascii="Verdana" w:hAnsi="Verdana" w:cs="Arial"/>
          <w:sz w:val="16"/>
          <w:szCs w:val="16"/>
          <w:lang w:eastAsia="el-GR"/>
        </w:rPr>
        <w:t>has been connected with</w:t>
      </w:r>
      <w:r w:rsidR="002E3941" w:rsidRPr="009A3D49">
        <w:rPr>
          <w:rFonts w:ascii="Verdana" w:hAnsi="Verdana" w:cs="Arial"/>
          <w:sz w:val="16"/>
          <w:szCs w:val="16"/>
          <w:lang w:eastAsia="el-GR"/>
        </w:rPr>
        <w:t xml:space="preserve"> TARGET-2-GR</w:t>
      </w:r>
      <w:r w:rsidR="0077705F">
        <w:rPr>
          <w:rFonts w:ascii="Verdana" w:hAnsi="Verdana" w:cs="Arial"/>
          <w:sz w:val="16"/>
          <w:szCs w:val="16"/>
          <w:lang w:eastAsia="el-GR"/>
        </w:rPr>
        <w:t>.</w:t>
      </w:r>
      <w:r w:rsidR="002E3941" w:rsidRPr="009A3D49">
        <w:rPr>
          <w:rFonts w:ascii="Verdana" w:hAnsi="Verdana" w:cs="Arial"/>
          <w:sz w:val="16"/>
          <w:szCs w:val="16"/>
          <w:lang w:eastAsia="el-GR"/>
        </w:rPr>
        <w:t xml:space="preserve">  </w:t>
      </w:r>
    </w:p>
    <w:p w:rsidR="002E3941" w:rsidRPr="009A3D49" w:rsidRDefault="0047455C" w:rsidP="00AE3A95">
      <w:pPr>
        <w:numPr>
          <w:ilvl w:val="0"/>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 xml:space="preserve">The terms of operation of settlement banks, according to the </w:t>
      </w:r>
      <w:r w:rsidR="002E3941" w:rsidRPr="009A3D49">
        <w:rPr>
          <w:rFonts w:ascii="Verdana" w:hAnsi="Verdana" w:cs="Arial"/>
          <w:sz w:val="16"/>
          <w:szCs w:val="16"/>
          <w:lang w:eastAsia="el-GR"/>
        </w:rPr>
        <w:t>TARGET2</w:t>
      </w:r>
      <w:r w:rsidR="007F283B">
        <w:rPr>
          <w:rFonts w:ascii="Verdana" w:hAnsi="Verdana" w:cs="Arial"/>
          <w:sz w:val="16"/>
          <w:szCs w:val="16"/>
          <w:lang w:eastAsia="el-GR"/>
        </w:rPr>
        <w:t>Guidelines</w:t>
      </w:r>
      <w:r w:rsidR="00781B69">
        <w:rPr>
          <w:rFonts w:ascii="Verdana" w:hAnsi="Verdana" w:cs="Arial"/>
          <w:sz w:val="16"/>
          <w:szCs w:val="16"/>
          <w:lang w:eastAsia="el-GR"/>
        </w:rPr>
        <w:t xml:space="preserve"> </w:t>
      </w:r>
      <w:r>
        <w:rPr>
          <w:rFonts w:ascii="Verdana" w:hAnsi="Verdana" w:cs="Arial"/>
          <w:sz w:val="16"/>
          <w:szCs w:val="16"/>
          <w:lang w:eastAsia="el-GR"/>
        </w:rPr>
        <w:t xml:space="preserve">that may render cash settlement services, through </w:t>
      </w:r>
      <w:r w:rsidR="002E3941" w:rsidRPr="009A3D49">
        <w:rPr>
          <w:rFonts w:ascii="Verdana" w:hAnsi="Verdana" w:cs="Arial"/>
          <w:sz w:val="16"/>
          <w:szCs w:val="16"/>
          <w:lang w:eastAsia="el-GR"/>
        </w:rPr>
        <w:t xml:space="preserve">TARGET2, </w:t>
      </w:r>
      <w:r w:rsidR="007F283B">
        <w:rPr>
          <w:rFonts w:ascii="Verdana" w:hAnsi="Verdana" w:cs="Arial"/>
          <w:sz w:val="16"/>
          <w:szCs w:val="16"/>
          <w:lang w:eastAsia="el-GR"/>
        </w:rPr>
        <w:t xml:space="preserve">to </w:t>
      </w:r>
      <w:r>
        <w:rPr>
          <w:rFonts w:ascii="Verdana" w:hAnsi="Verdana" w:cs="Arial"/>
          <w:sz w:val="16"/>
          <w:szCs w:val="16"/>
          <w:lang w:eastAsia="el-GR"/>
        </w:rPr>
        <w:t xml:space="preserve">ancillary systems and their participants </w:t>
      </w:r>
      <w:r w:rsidR="002E3941" w:rsidRPr="009A3D49">
        <w:rPr>
          <w:rFonts w:ascii="Verdana" w:hAnsi="Verdana" w:cs="Arial"/>
          <w:sz w:val="16"/>
          <w:szCs w:val="16"/>
          <w:lang w:eastAsia="el-GR"/>
        </w:rPr>
        <w:t>(</w:t>
      </w:r>
      <w:r>
        <w:rPr>
          <w:rFonts w:ascii="Verdana" w:hAnsi="Verdana" w:cs="Arial"/>
          <w:sz w:val="16"/>
          <w:szCs w:val="16"/>
          <w:lang w:eastAsia="el-GR"/>
        </w:rPr>
        <w:t>Settlement Banks</w:t>
      </w:r>
      <w:r w:rsidR="002E3941" w:rsidRPr="009A3D49">
        <w:rPr>
          <w:rFonts w:ascii="Verdana" w:hAnsi="Verdana" w:cs="Arial"/>
          <w:sz w:val="16"/>
          <w:szCs w:val="16"/>
          <w:lang w:eastAsia="el-GR"/>
        </w:rPr>
        <w:t>)</w:t>
      </w:r>
      <w:r w:rsidR="00AD011E">
        <w:rPr>
          <w:rFonts w:ascii="Verdana" w:hAnsi="Verdana" w:cs="Arial"/>
          <w:sz w:val="16"/>
          <w:szCs w:val="16"/>
          <w:lang w:eastAsia="el-GR"/>
        </w:rPr>
        <w:t>.</w:t>
      </w:r>
    </w:p>
    <w:p w:rsidR="002E3941" w:rsidRDefault="0047455C" w:rsidP="00AE3A95">
      <w:pPr>
        <w:numPr>
          <w:ilvl w:val="0"/>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The statement dated</w:t>
      </w:r>
      <w:r w:rsidR="002E3941" w:rsidRPr="009A3D49">
        <w:rPr>
          <w:rFonts w:ascii="Verdana" w:hAnsi="Verdana" w:cs="Arial"/>
          <w:sz w:val="16"/>
          <w:szCs w:val="16"/>
          <w:lang w:eastAsia="el-GR"/>
        </w:rPr>
        <w:t xml:space="preserve"> </w:t>
      </w:r>
      <w:bookmarkStart w:id="7" w:name="Text6"/>
      <w:r w:rsidR="003B139F">
        <w:rPr>
          <w:rFonts w:ascii="Verdana" w:hAnsi="Verdana" w:cs="Arial"/>
          <w:sz w:val="16"/>
          <w:szCs w:val="16"/>
          <w:lang w:eastAsia="el-GR"/>
        </w:rPr>
        <w:fldChar w:fldCharType="begin">
          <w:ffData>
            <w:name w:val="Text6"/>
            <w:enabled/>
            <w:calcOnExit w:val="0"/>
            <w:textInput>
              <w:default w:val="………………"/>
            </w:textInput>
          </w:ffData>
        </w:fldChar>
      </w:r>
      <w:r w:rsidR="003B139F">
        <w:rPr>
          <w:rFonts w:ascii="Verdana" w:hAnsi="Verdana" w:cs="Arial"/>
          <w:sz w:val="16"/>
          <w:szCs w:val="16"/>
          <w:lang w:eastAsia="el-GR"/>
        </w:rPr>
        <w:instrText xml:space="preserve"> FORMTEXT </w:instrText>
      </w:r>
      <w:r w:rsidR="00E93F4B" w:rsidRPr="003B139F">
        <w:rPr>
          <w:rFonts w:ascii="Verdana" w:hAnsi="Verdana" w:cs="Arial"/>
          <w:sz w:val="16"/>
          <w:szCs w:val="16"/>
          <w:lang w:eastAsia="el-GR"/>
        </w:rPr>
      </w:r>
      <w:r w:rsidR="003B139F">
        <w:rPr>
          <w:rFonts w:ascii="Verdana" w:hAnsi="Verdana" w:cs="Arial"/>
          <w:sz w:val="16"/>
          <w:szCs w:val="16"/>
          <w:lang w:eastAsia="el-GR"/>
        </w:rPr>
        <w:fldChar w:fldCharType="separate"/>
      </w:r>
      <w:r w:rsidR="003B139F">
        <w:rPr>
          <w:rFonts w:ascii="Verdana" w:hAnsi="Verdana" w:cs="Arial"/>
          <w:noProof/>
          <w:sz w:val="16"/>
          <w:szCs w:val="16"/>
          <w:lang w:eastAsia="el-GR"/>
        </w:rPr>
        <w:t>………………</w:t>
      </w:r>
      <w:r w:rsidR="003B139F">
        <w:rPr>
          <w:rFonts w:ascii="Verdana" w:hAnsi="Verdana" w:cs="Arial"/>
          <w:sz w:val="16"/>
          <w:szCs w:val="16"/>
          <w:lang w:eastAsia="el-GR"/>
        </w:rPr>
        <w:fldChar w:fldCharType="end"/>
      </w:r>
      <w:bookmarkEnd w:id="7"/>
      <w:r w:rsidR="002E3941" w:rsidRPr="009A3D49">
        <w:rPr>
          <w:rFonts w:ascii="Verdana" w:hAnsi="Verdana" w:cs="Arial"/>
          <w:sz w:val="16"/>
          <w:szCs w:val="16"/>
          <w:lang w:eastAsia="el-GR"/>
        </w:rPr>
        <w:t xml:space="preserve"> «TARGET2 form of collection of Static Data - Debit mandate for AS settlement -» (</w:t>
      </w:r>
      <w:r>
        <w:rPr>
          <w:rFonts w:ascii="Verdana" w:hAnsi="Verdana" w:cs="Arial"/>
          <w:sz w:val="16"/>
          <w:szCs w:val="16"/>
          <w:lang w:eastAsia="el-GR"/>
        </w:rPr>
        <w:t>Form</w:t>
      </w:r>
      <w:r w:rsidR="002E3941" w:rsidRPr="009A3D49">
        <w:rPr>
          <w:rFonts w:ascii="Verdana" w:hAnsi="Verdana" w:cs="Arial"/>
          <w:sz w:val="16"/>
          <w:szCs w:val="16"/>
          <w:lang w:eastAsia="el-GR"/>
        </w:rPr>
        <w:t xml:space="preserve"> 2002), </w:t>
      </w:r>
      <w:r>
        <w:rPr>
          <w:rFonts w:ascii="Verdana" w:hAnsi="Verdana" w:cs="Arial"/>
          <w:sz w:val="16"/>
          <w:szCs w:val="16"/>
          <w:lang w:eastAsia="el-GR"/>
        </w:rPr>
        <w:t>as such was signed by the Settlement Bank and HELEX and was forwarded to the Bank of Greece, based on which the Settlement Bank and HELEX confirm that the Settlement Bank shall act as such and shall render the relevant services to HELEX’s Ancillary System</w:t>
      </w:r>
      <w:r w:rsidR="002E3941" w:rsidRPr="009A3D49">
        <w:rPr>
          <w:rFonts w:ascii="Verdana" w:hAnsi="Verdana" w:cs="Arial"/>
          <w:sz w:val="16"/>
          <w:szCs w:val="16"/>
          <w:lang w:eastAsia="el-GR"/>
        </w:rPr>
        <w:t xml:space="preserve">. </w:t>
      </w:r>
    </w:p>
    <w:p w:rsidR="002E3941" w:rsidRDefault="000E36BF" w:rsidP="002E3941">
      <w:pPr>
        <w:spacing w:before="120" w:after="120" w:line="240" w:lineRule="atLeast"/>
        <w:jc w:val="center"/>
        <w:rPr>
          <w:rFonts w:ascii="Verdana" w:hAnsi="Verdana" w:cs="Arial"/>
          <w:b/>
          <w:sz w:val="16"/>
          <w:szCs w:val="16"/>
          <w:lang w:eastAsia="el-GR"/>
        </w:rPr>
      </w:pPr>
      <w:r>
        <w:rPr>
          <w:rFonts w:ascii="Verdana" w:hAnsi="Verdana" w:cs="Arial"/>
          <w:b/>
          <w:sz w:val="16"/>
          <w:szCs w:val="16"/>
          <w:lang w:eastAsia="el-GR"/>
        </w:rPr>
        <w:t>I hereby state</w:t>
      </w:r>
    </w:p>
    <w:p w:rsidR="002E3941" w:rsidRPr="009A3D49" w:rsidRDefault="0047455C"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That I shall act as Settlement Bank in the sense of the </w:t>
      </w:r>
      <w:r w:rsidR="002E3941" w:rsidRPr="009A3D49">
        <w:rPr>
          <w:rFonts w:ascii="Verdana" w:hAnsi="Verdana" w:cs="Arial"/>
          <w:sz w:val="16"/>
          <w:szCs w:val="16"/>
          <w:lang w:eastAsia="el-GR"/>
        </w:rPr>
        <w:t>TARGET2-</w:t>
      </w:r>
      <w:r w:rsidR="007F283B">
        <w:rPr>
          <w:rFonts w:ascii="Verdana" w:hAnsi="Verdana" w:cs="Arial"/>
          <w:sz w:val="16"/>
          <w:szCs w:val="16"/>
          <w:lang w:eastAsia="el-GR"/>
        </w:rPr>
        <w:t>Guidelines</w:t>
      </w:r>
      <w:r w:rsidR="00781B69">
        <w:rPr>
          <w:rFonts w:ascii="Verdana" w:hAnsi="Verdana" w:cs="Arial"/>
          <w:sz w:val="16"/>
          <w:szCs w:val="16"/>
          <w:lang w:eastAsia="el-GR"/>
        </w:rPr>
        <w:t xml:space="preserve"> </w:t>
      </w:r>
      <w:r>
        <w:rPr>
          <w:rFonts w:ascii="Verdana" w:hAnsi="Verdana" w:cs="Arial"/>
          <w:sz w:val="16"/>
          <w:szCs w:val="16"/>
          <w:lang w:eastAsia="el-GR"/>
        </w:rPr>
        <w:t xml:space="preserve">with regard to HELEX’s Ancillary System and that I shall render all relevant services to HELEX and its Operators according to the </w:t>
      </w:r>
      <w:r w:rsidR="002E3941" w:rsidRPr="009A3D49">
        <w:rPr>
          <w:rFonts w:ascii="Verdana" w:hAnsi="Verdana" w:cs="Arial"/>
          <w:sz w:val="16"/>
          <w:szCs w:val="16"/>
          <w:lang w:eastAsia="el-GR"/>
        </w:rPr>
        <w:t>TARGET2</w:t>
      </w:r>
      <w:r w:rsidR="007F283B">
        <w:rPr>
          <w:rFonts w:ascii="Verdana" w:hAnsi="Verdana" w:cs="Arial"/>
          <w:sz w:val="16"/>
          <w:szCs w:val="16"/>
          <w:lang w:eastAsia="el-GR"/>
        </w:rPr>
        <w:t>Guidelines</w:t>
      </w:r>
      <w:r w:rsidR="00781B69">
        <w:rPr>
          <w:rFonts w:ascii="Verdana" w:hAnsi="Verdana" w:cs="Arial"/>
          <w:sz w:val="16"/>
          <w:szCs w:val="16"/>
          <w:lang w:eastAsia="el-GR"/>
        </w:rPr>
        <w:t xml:space="preserve"> </w:t>
      </w:r>
      <w:r>
        <w:rPr>
          <w:rFonts w:ascii="Verdana" w:hAnsi="Verdana" w:cs="Arial"/>
          <w:sz w:val="16"/>
          <w:szCs w:val="16"/>
          <w:lang w:eastAsia="el-GR"/>
        </w:rPr>
        <w:t>and what is specifically set out in HELEX’s procedures</w:t>
      </w:r>
      <w:r w:rsidR="002E3941" w:rsidRPr="009A3D49">
        <w:rPr>
          <w:rFonts w:ascii="Verdana" w:hAnsi="Verdana" w:cs="Arial"/>
          <w:sz w:val="16"/>
          <w:szCs w:val="16"/>
          <w:lang w:eastAsia="el-GR"/>
        </w:rPr>
        <w:t xml:space="preserve">. </w:t>
      </w:r>
      <w:r>
        <w:rPr>
          <w:rFonts w:ascii="Verdana" w:hAnsi="Verdana" w:cs="Arial"/>
          <w:sz w:val="16"/>
          <w:szCs w:val="16"/>
          <w:lang w:eastAsia="el-GR"/>
        </w:rPr>
        <w:t>To this end</w:t>
      </w:r>
      <w:r w:rsidR="000064E1">
        <w:rPr>
          <w:rFonts w:ascii="Verdana" w:hAnsi="Verdana" w:cs="Arial"/>
          <w:sz w:val="16"/>
          <w:szCs w:val="16"/>
          <w:lang w:eastAsia="el-GR"/>
        </w:rPr>
        <w:t>,</w:t>
      </w:r>
      <w:r>
        <w:rPr>
          <w:rFonts w:ascii="Verdana" w:hAnsi="Verdana" w:cs="Arial"/>
          <w:sz w:val="16"/>
          <w:szCs w:val="16"/>
          <w:lang w:eastAsia="el-GR"/>
        </w:rPr>
        <w:t xml:space="preserve"> I hereby state that I shall proceed to the signing of all necessary documents t</w:t>
      </w:r>
      <w:r w:rsidR="000064E1">
        <w:rPr>
          <w:rFonts w:ascii="Verdana" w:hAnsi="Verdana" w:cs="Arial"/>
          <w:sz w:val="16"/>
          <w:szCs w:val="16"/>
          <w:lang w:eastAsia="el-GR"/>
        </w:rPr>
        <w:t>hat the Bank of Greece and HELEX</w:t>
      </w:r>
      <w:r>
        <w:rPr>
          <w:rFonts w:ascii="Verdana" w:hAnsi="Verdana" w:cs="Arial"/>
          <w:sz w:val="16"/>
          <w:szCs w:val="16"/>
          <w:lang w:eastAsia="el-GR"/>
        </w:rPr>
        <w:t xml:space="preserve"> shall indicate to me</w:t>
      </w:r>
      <w:r w:rsidR="008C0585">
        <w:rPr>
          <w:rFonts w:ascii="Verdana" w:hAnsi="Verdana" w:cs="Arial"/>
          <w:sz w:val="16"/>
          <w:szCs w:val="16"/>
          <w:lang w:eastAsia="el-GR"/>
        </w:rPr>
        <w:t xml:space="preserve"> and I shall proceed to all relevant acts suggested by the aforementioned bodies, acc</w:t>
      </w:r>
      <w:r w:rsidR="000064E1">
        <w:rPr>
          <w:rFonts w:ascii="Verdana" w:hAnsi="Verdana" w:cs="Arial"/>
          <w:sz w:val="16"/>
          <w:szCs w:val="16"/>
          <w:lang w:eastAsia="el-GR"/>
        </w:rPr>
        <w:t>epting, without any reservation</w:t>
      </w:r>
      <w:r w:rsidR="008C0585">
        <w:rPr>
          <w:rFonts w:ascii="Verdana" w:hAnsi="Verdana" w:cs="Arial"/>
          <w:sz w:val="16"/>
          <w:szCs w:val="16"/>
          <w:lang w:eastAsia="el-GR"/>
        </w:rPr>
        <w:t xml:space="preserve">, whatsoever, all obligations arising out of such capacity, as well as all obligations arising out of the Specific Terms </w:t>
      </w:r>
      <w:r w:rsidR="000064E1">
        <w:rPr>
          <w:rFonts w:ascii="Verdana" w:hAnsi="Verdana" w:cs="Arial"/>
          <w:sz w:val="16"/>
          <w:szCs w:val="16"/>
          <w:lang w:eastAsia="el-GR"/>
        </w:rPr>
        <w:lastRenderedPageBreak/>
        <w:t>for the Provisions of Settlement Bank Services in HELEX’s Ancillary System, according to TARGET2-GR to which terms I hereby accede, as such are set out by HELEX and are as follows</w:t>
      </w:r>
      <w:r w:rsidR="002E3941" w:rsidRPr="009A3D49">
        <w:rPr>
          <w:rFonts w:ascii="Verdana" w:hAnsi="Verdana" w:cs="Arial"/>
          <w:sz w:val="16"/>
          <w:szCs w:val="16"/>
          <w:lang w:eastAsia="el-GR"/>
        </w:rPr>
        <w:t xml:space="preserve">: </w:t>
      </w:r>
    </w:p>
    <w:p w:rsidR="002E3941" w:rsidRPr="009A3D49" w:rsidRDefault="002E3941" w:rsidP="002E3941">
      <w:pPr>
        <w:spacing w:before="120" w:after="120" w:line="240" w:lineRule="atLeast"/>
        <w:jc w:val="both"/>
        <w:rPr>
          <w:rFonts w:ascii="Verdana" w:hAnsi="Verdana" w:cs="Arial"/>
          <w:sz w:val="16"/>
          <w:szCs w:val="16"/>
          <w:lang w:eastAsia="el-GR"/>
        </w:rPr>
      </w:pPr>
    </w:p>
    <w:p w:rsidR="002E3941" w:rsidRPr="009A3D49" w:rsidRDefault="002E3941" w:rsidP="002E3941">
      <w:pPr>
        <w:pBdr>
          <w:top w:val="single" w:sz="4" w:space="1" w:color="auto"/>
          <w:left w:val="single" w:sz="4" w:space="4" w:color="auto"/>
          <w:bottom w:val="single" w:sz="4" w:space="2" w:color="auto"/>
          <w:right w:val="single" w:sz="4" w:space="4" w:color="auto"/>
        </w:pBdr>
        <w:spacing w:before="120" w:after="120" w:line="240" w:lineRule="atLeast"/>
        <w:jc w:val="center"/>
        <w:rPr>
          <w:rFonts w:ascii="Verdana" w:hAnsi="Verdana" w:cs="Arial"/>
          <w:b/>
          <w:sz w:val="16"/>
          <w:szCs w:val="16"/>
          <w:lang w:eastAsia="el-GR"/>
        </w:rPr>
      </w:pPr>
    </w:p>
    <w:p w:rsidR="002E3941" w:rsidRPr="009A3D49" w:rsidRDefault="00501C4E" w:rsidP="002E3941">
      <w:pPr>
        <w:pBdr>
          <w:top w:val="single" w:sz="4" w:space="1" w:color="auto"/>
          <w:left w:val="single" w:sz="4" w:space="4" w:color="auto"/>
          <w:bottom w:val="single" w:sz="4" w:space="2" w:color="auto"/>
          <w:right w:val="single" w:sz="4" w:space="4" w:color="auto"/>
        </w:pBdr>
        <w:spacing w:before="120" w:after="120" w:line="240" w:lineRule="atLeast"/>
        <w:jc w:val="center"/>
        <w:rPr>
          <w:rFonts w:ascii="Verdana" w:hAnsi="Verdana" w:cs="Arial"/>
          <w:b/>
          <w:sz w:val="16"/>
          <w:szCs w:val="16"/>
          <w:lang w:eastAsia="el-GR"/>
        </w:rPr>
      </w:pPr>
      <w:r>
        <w:rPr>
          <w:rFonts w:ascii="Verdana" w:hAnsi="Verdana" w:cs="Arial"/>
          <w:b/>
          <w:sz w:val="16"/>
          <w:szCs w:val="16"/>
          <w:lang w:eastAsia="el-GR"/>
        </w:rPr>
        <w:t xml:space="preserve">Special Terms for the Provision of Settlement Bank Services in </w:t>
      </w:r>
      <w:r w:rsidR="00EC220E">
        <w:rPr>
          <w:rFonts w:ascii="Verdana" w:hAnsi="Verdana" w:cs="Arial"/>
          <w:b/>
          <w:sz w:val="16"/>
          <w:szCs w:val="16"/>
          <w:lang w:eastAsia="el-GR"/>
        </w:rPr>
        <w:t>Helex’s Ancillary</w:t>
      </w:r>
      <w:r>
        <w:rPr>
          <w:rFonts w:ascii="Verdana" w:hAnsi="Verdana" w:cs="Arial"/>
          <w:b/>
          <w:sz w:val="16"/>
          <w:szCs w:val="16"/>
          <w:lang w:val="en-US" w:eastAsia="el-GR"/>
        </w:rPr>
        <w:t xml:space="preserve"> System according to </w:t>
      </w:r>
      <w:r w:rsidRPr="009A3D49">
        <w:rPr>
          <w:rFonts w:ascii="Verdana" w:hAnsi="Verdana" w:cs="Arial"/>
          <w:b/>
          <w:sz w:val="16"/>
          <w:szCs w:val="16"/>
          <w:lang w:eastAsia="el-GR"/>
        </w:rPr>
        <w:t xml:space="preserve">TARGET2 </w:t>
      </w:r>
      <w:r w:rsidR="002E3941" w:rsidRPr="009A3D49">
        <w:rPr>
          <w:rFonts w:ascii="Verdana" w:hAnsi="Verdana" w:cs="Arial"/>
          <w:b/>
          <w:sz w:val="16"/>
          <w:szCs w:val="16"/>
          <w:lang w:eastAsia="el-GR"/>
        </w:rPr>
        <w:t>(</w:t>
      </w:r>
      <w:r>
        <w:rPr>
          <w:rFonts w:ascii="Verdana" w:hAnsi="Verdana" w:cs="Arial"/>
          <w:b/>
          <w:sz w:val="16"/>
          <w:szCs w:val="16"/>
          <w:lang w:eastAsia="el-GR"/>
        </w:rPr>
        <w:t>Special Terms</w:t>
      </w:r>
      <w:r w:rsidR="002E3941" w:rsidRPr="009A3D49">
        <w:rPr>
          <w:rFonts w:ascii="Verdana" w:hAnsi="Verdana" w:cs="Arial"/>
          <w:b/>
          <w:sz w:val="16"/>
          <w:szCs w:val="16"/>
          <w:lang w:eastAsia="el-GR"/>
        </w:rPr>
        <w:t xml:space="preserve">) </w:t>
      </w:r>
    </w:p>
    <w:p w:rsidR="002E3941" w:rsidRPr="009A3D49" w:rsidRDefault="002E3941" w:rsidP="002E3941">
      <w:pPr>
        <w:pBdr>
          <w:top w:val="single" w:sz="4" w:space="1" w:color="auto"/>
          <w:left w:val="single" w:sz="4" w:space="4" w:color="auto"/>
          <w:bottom w:val="single" w:sz="4" w:space="2" w:color="auto"/>
          <w:right w:val="single" w:sz="4" w:space="4" w:color="auto"/>
        </w:pBdr>
        <w:spacing w:before="120" w:after="120" w:line="240" w:lineRule="atLeast"/>
        <w:jc w:val="center"/>
        <w:rPr>
          <w:rFonts w:ascii="Verdana" w:hAnsi="Verdana" w:cs="Arial"/>
          <w:b/>
          <w:sz w:val="16"/>
          <w:szCs w:val="16"/>
          <w:lang w:eastAsia="el-GR"/>
        </w:rPr>
      </w:pPr>
    </w:p>
    <w:p w:rsidR="002E3941" w:rsidRPr="009A3D49" w:rsidRDefault="002E3941" w:rsidP="002E3941">
      <w:pPr>
        <w:spacing w:before="120" w:after="120" w:line="240" w:lineRule="atLeast"/>
        <w:jc w:val="both"/>
        <w:rPr>
          <w:rFonts w:ascii="Verdana" w:hAnsi="Verdana" w:cs="Arial"/>
          <w:sz w:val="16"/>
          <w:szCs w:val="16"/>
          <w:lang w:eastAsia="el-GR"/>
        </w:rPr>
      </w:pPr>
    </w:p>
    <w:p w:rsidR="002E3941" w:rsidRPr="009A3D49" w:rsidRDefault="00EC220E" w:rsidP="00AE3A95">
      <w:pPr>
        <w:numPr>
          <w:ilvl w:val="1"/>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The following specific terms shall be in force with regard to the provision of services by the Settlement Bank to HELEX and the DSS Operators, according to the TARGET2</w:t>
      </w:r>
      <w:r w:rsidR="00607059">
        <w:rPr>
          <w:rFonts w:ascii="Verdana" w:hAnsi="Verdana" w:cs="Arial"/>
          <w:sz w:val="16"/>
          <w:szCs w:val="16"/>
          <w:lang w:eastAsia="el-GR"/>
        </w:rPr>
        <w:t>Guidelines</w:t>
      </w:r>
      <w:r w:rsidR="00781B69">
        <w:rPr>
          <w:rFonts w:ascii="Verdana" w:hAnsi="Verdana" w:cs="Arial"/>
          <w:sz w:val="16"/>
          <w:szCs w:val="16"/>
          <w:lang w:eastAsia="el-GR"/>
        </w:rPr>
        <w:t xml:space="preserve"> </w:t>
      </w:r>
      <w:r>
        <w:rPr>
          <w:rFonts w:ascii="Verdana" w:hAnsi="Verdana" w:cs="Arial"/>
          <w:sz w:val="16"/>
          <w:szCs w:val="16"/>
          <w:lang w:eastAsia="el-GR"/>
        </w:rPr>
        <w:t xml:space="preserve">and HELEX’s procedures for the cash settlement of trades settled through HELEX’s Ancillary System in </w:t>
      </w:r>
      <w:r w:rsidR="002E3941" w:rsidRPr="009A3D49">
        <w:rPr>
          <w:rFonts w:ascii="Verdana" w:hAnsi="Verdana" w:cs="Arial"/>
          <w:sz w:val="16"/>
          <w:szCs w:val="16"/>
          <w:lang w:eastAsia="el-GR"/>
        </w:rPr>
        <w:t>TARGET2-GR</w:t>
      </w:r>
      <w:r>
        <w:rPr>
          <w:rFonts w:ascii="Verdana" w:hAnsi="Verdana" w:cs="Arial"/>
          <w:sz w:val="16"/>
          <w:szCs w:val="16"/>
          <w:lang w:eastAsia="el-GR"/>
        </w:rPr>
        <w:t>.</w:t>
      </w:r>
    </w:p>
    <w:p w:rsidR="002E3941" w:rsidRPr="009A3D49" w:rsidRDefault="00627B16" w:rsidP="00AE3A95">
      <w:pPr>
        <w:numPr>
          <w:ilvl w:val="1"/>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The Settlement Bank shall be obliged to</w:t>
      </w:r>
      <w:r w:rsidR="002E3941" w:rsidRPr="009A3D49">
        <w:rPr>
          <w:rFonts w:ascii="Verdana" w:hAnsi="Verdana" w:cs="Arial"/>
          <w:sz w:val="16"/>
          <w:szCs w:val="16"/>
          <w:lang w:eastAsia="el-GR"/>
        </w:rPr>
        <w:t xml:space="preserve">: </w:t>
      </w:r>
    </w:p>
    <w:p w:rsidR="002E3941" w:rsidRPr="009A3D49" w:rsidRDefault="00627B16" w:rsidP="00AE3A95">
      <w:pPr>
        <w:numPr>
          <w:ilvl w:val="1"/>
          <w:numId w:val="31"/>
        </w:numPr>
        <w:spacing w:before="120" w:after="120" w:line="240" w:lineRule="atLeast"/>
        <w:ind w:hanging="540"/>
        <w:jc w:val="both"/>
        <w:rPr>
          <w:rFonts w:ascii="Verdana" w:hAnsi="Verdana" w:cs="Arial"/>
          <w:sz w:val="16"/>
          <w:szCs w:val="16"/>
          <w:lang w:eastAsia="el-GR"/>
        </w:rPr>
      </w:pPr>
      <w:r>
        <w:rPr>
          <w:rFonts w:ascii="Verdana" w:hAnsi="Verdana" w:cs="Arial"/>
          <w:sz w:val="16"/>
          <w:szCs w:val="16"/>
          <w:lang w:eastAsia="el-GR"/>
        </w:rPr>
        <w:t xml:space="preserve">Submit to HELEX all necessary data and information, including the required use authorisations, according to the </w:t>
      </w:r>
      <w:r w:rsidR="00236DB0">
        <w:rPr>
          <w:rFonts w:ascii="Verdana" w:hAnsi="Verdana" w:cs="Arial"/>
          <w:sz w:val="16"/>
          <w:szCs w:val="16"/>
          <w:lang w:eastAsia="el-GR"/>
        </w:rPr>
        <w:t>provision</w:t>
      </w:r>
      <w:r>
        <w:rPr>
          <w:rFonts w:ascii="Verdana" w:hAnsi="Verdana" w:cs="Arial"/>
          <w:sz w:val="16"/>
          <w:szCs w:val="16"/>
          <w:lang w:eastAsia="el-GR"/>
        </w:rPr>
        <w:t xml:space="preserve">s of the </w:t>
      </w:r>
      <w:r w:rsidR="002E3941" w:rsidRPr="009A3D49">
        <w:rPr>
          <w:rFonts w:ascii="Verdana" w:hAnsi="Verdana" w:cs="Arial"/>
          <w:sz w:val="16"/>
          <w:szCs w:val="16"/>
          <w:lang w:eastAsia="el-GR"/>
        </w:rPr>
        <w:t>TARGET2</w:t>
      </w:r>
      <w:r w:rsidR="001D5CB1">
        <w:rPr>
          <w:rFonts w:ascii="Verdana" w:hAnsi="Verdana" w:cs="Arial"/>
          <w:sz w:val="16"/>
          <w:szCs w:val="16"/>
          <w:lang w:eastAsia="el-GR"/>
        </w:rPr>
        <w:t>Giudelines</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in order for HELEX as body of HELEX’s Ancillary System, to be in the position to include the Settlement Bank in the list of settlement banks it forwards to the Bank of Greece, according to the </w:t>
      </w:r>
      <w:r w:rsidR="002E3941" w:rsidRPr="009A3D49">
        <w:rPr>
          <w:rFonts w:ascii="Verdana" w:hAnsi="Verdana" w:cs="Arial"/>
          <w:sz w:val="16"/>
          <w:szCs w:val="16"/>
          <w:lang w:eastAsia="el-GR"/>
        </w:rPr>
        <w:t>TARGET2-GR</w:t>
      </w:r>
      <w:r w:rsidR="00781B69" w:rsidRPr="00781B69">
        <w:rPr>
          <w:rFonts w:ascii="Verdana" w:hAnsi="Verdana" w:cs="Arial"/>
          <w:sz w:val="16"/>
          <w:szCs w:val="16"/>
          <w:lang w:eastAsia="el-GR"/>
        </w:rPr>
        <w:t xml:space="preserve"> </w:t>
      </w:r>
      <w:r w:rsidR="00781B69">
        <w:rPr>
          <w:rFonts w:ascii="Verdana" w:hAnsi="Verdana" w:cs="Arial"/>
          <w:sz w:val="16"/>
          <w:szCs w:val="16"/>
          <w:lang w:eastAsia="el-GR"/>
        </w:rPr>
        <w:t>Operating Regulations</w:t>
      </w:r>
      <w:r w:rsidR="002E3941" w:rsidRPr="009A3D49">
        <w:rPr>
          <w:rFonts w:ascii="Verdana" w:hAnsi="Verdana" w:cs="Arial"/>
          <w:sz w:val="16"/>
          <w:szCs w:val="16"/>
          <w:lang w:eastAsia="el-GR"/>
        </w:rPr>
        <w:t xml:space="preserve">. </w:t>
      </w:r>
    </w:p>
    <w:p w:rsidR="002E3941" w:rsidRPr="009A3D49" w:rsidRDefault="007C2FC3" w:rsidP="00AE3A95">
      <w:pPr>
        <w:numPr>
          <w:ilvl w:val="1"/>
          <w:numId w:val="31"/>
        </w:numPr>
        <w:spacing w:before="120" w:after="120" w:line="240" w:lineRule="atLeast"/>
        <w:ind w:hanging="540"/>
        <w:jc w:val="both"/>
        <w:rPr>
          <w:rFonts w:ascii="Verdana" w:hAnsi="Verdana" w:cs="Arial"/>
          <w:sz w:val="16"/>
          <w:szCs w:val="16"/>
          <w:lang w:eastAsia="el-GR"/>
        </w:rPr>
      </w:pPr>
      <w:r>
        <w:rPr>
          <w:rFonts w:ascii="Verdana" w:hAnsi="Verdana" w:cs="Arial"/>
          <w:sz w:val="16"/>
          <w:szCs w:val="16"/>
          <w:lang w:eastAsia="el-GR"/>
        </w:rPr>
        <w:t xml:space="preserve">Inform HELEX in case of change in the data or information submitted to it under 2.1 above, in order for HELEX to be in the position to forward an updated list of settlement banks to the Bank of Greece, according to the </w:t>
      </w:r>
      <w:r w:rsidR="002E3941" w:rsidRPr="009A3D49">
        <w:rPr>
          <w:rFonts w:ascii="Verdana" w:hAnsi="Verdana" w:cs="Arial"/>
          <w:sz w:val="16"/>
          <w:szCs w:val="16"/>
          <w:lang w:eastAsia="el-GR"/>
        </w:rPr>
        <w:t>TARGET2-GR</w:t>
      </w:r>
      <w:r w:rsidR="00781B69" w:rsidRPr="00781B69">
        <w:rPr>
          <w:rFonts w:ascii="Verdana" w:hAnsi="Verdana" w:cs="Arial"/>
          <w:sz w:val="16"/>
          <w:szCs w:val="16"/>
          <w:lang w:eastAsia="el-GR"/>
        </w:rPr>
        <w:t xml:space="preserve"> </w:t>
      </w:r>
      <w:r w:rsidR="00781B69">
        <w:rPr>
          <w:rFonts w:ascii="Verdana" w:hAnsi="Verdana" w:cs="Arial"/>
          <w:sz w:val="16"/>
          <w:szCs w:val="16"/>
          <w:lang w:eastAsia="el-GR"/>
        </w:rPr>
        <w:t>Operating Regulations</w:t>
      </w:r>
      <w:r w:rsidR="002E3941" w:rsidRPr="009A3D49">
        <w:rPr>
          <w:rFonts w:ascii="Verdana" w:hAnsi="Verdana" w:cs="Arial"/>
          <w:sz w:val="16"/>
          <w:szCs w:val="16"/>
          <w:lang w:eastAsia="el-GR"/>
        </w:rPr>
        <w:t xml:space="preserve">.  </w:t>
      </w:r>
    </w:p>
    <w:p w:rsidR="002E3941" w:rsidRPr="009A3D49" w:rsidRDefault="002B3DFB" w:rsidP="00AE3A95">
      <w:pPr>
        <w:numPr>
          <w:ilvl w:val="1"/>
          <w:numId w:val="31"/>
        </w:numPr>
        <w:spacing w:before="120" w:after="120" w:line="240" w:lineRule="atLeast"/>
        <w:ind w:hanging="540"/>
        <w:jc w:val="both"/>
        <w:rPr>
          <w:rFonts w:ascii="Verdana" w:hAnsi="Verdana" w:cs="Arial"/>
          <w:sz w:val="16"/>
          <w:szCs w:val="16"/>
          <w:lang w:eastAsia="el-GR"/>
        </w:rPr>
      </w:pPr>
      <w:r>
        <w:rPr>
          <w:rFonts w:ascii="Verdana" w:hAnsi="Verdana" w:cs="Arial"/>
          <w:sz w:val="16"/>
          <w:szCs w:val="16"/>
          <w:lang w:eastAsia="el-GR"/>
        </w:rPr>
        <w:t xml:space="preserve">Comply with the terms of Settlement Procedure 6 – Dedicated Liquidity as such is set out in the </w:t>
      </w:r>
      <w:r w:rsidR="002E3941" w:rsidRPr="009A3D49">
        <w:rPr>
          <w:rFonts w:ascii="Verdana" w:hAnsi="Verdana" w:cs="Arial"/>
          <w:sz w:val="16"/>
          <w:szCs w:val="16"/>
          <w:lang w:eastAsia="el-GR"/>
        </w:rPr>
        <w:t>TARGET2</w:t>
      </w:r>
      <w:r w:rsidR="00C975B3">
        <w:rPr>
          <w:rFonts w:ascii="Verdana" w:hAnsi="Verdana" w:cs="Arial"/>
          <w:sz w:val="16"/>
          <w:szCs w:val="16"/>
          <w:lang w:eastAsia="el-GR"/>
        </w:rPr>
        <w:t xml:space="preserve"> Guidelines</w:t>
      </w:r>
      <w:r w:rsidR="002E3941" w:rsidRPr="009A3D49">
        <w:rPr>
          <w:rFonts w:ascii="Verdana" w:hAnsi="Verdana" w:cs="Arial"/>
          <w:sz w:val="16"/>
          <w:szCs w:val="16"/>
          <w:lang w:eastAsia="el-GR"/>
        </w:rPr>
        <w:t xml:space="preserve">, </w:t>
      </w:r>
      <w:r w:rsidR="00933D49">
        <w:rPr>
          <w:rFonts w:ascii="Verdana" w:hAnsi="Verdana" w:cs="Arial"/>
          <w:sz w:val="16"/>
          <w:szCs w:val="16"/>
          <w:lang w:eastAsia="el-GR"/>
        </w:rPr>
        <w:t xml:space="preserve">according to which the cash settlement is carried out in HELEX’s Ancillary System or with the terms of any other settlement procedure that may be indicated by HELEX, according to the </w:t>
      </w:r>
      <w:r w:rsidR="00933D49" w:rsidRPr="009A3D49">
        <w:rPr>
          <w:rFonts w:ascii="Verdana" w:hAnsi="Verdana" w:cs="Arial"/>
          <w:sz w:val="16"/>
          <w:szCs w:val="16"/>
          <w:lang w:eastAsia="el-GR"/>
        </w:rPr>
        <w:t>TARGET2-GR</w:t>
      </w:r>
      <w:r w:rsidR="00933D49" w:rsidRPr="00781B69">
        <w:rPr>
          <w:rFonts w:ascii="Verdana" w:hAnsi="Verdana" w:cs="Arial"/>
          <w:sz w:val="16"/>
          <w:szCs w:val="16"/>
          <w:lang w:eastAsia="el-GR"/>
        </w:rPr>
        <w:t xml:space="preserve"> </w:t>
      </w:r>
      <w:r w:rsidR="00933D49">
        <w:rPr>
          <w:rFonts w:ascii="Verdana" w:hAnsi="Verdana" w:cs="Arial"/>
          <w:sz w:val="16"/>
          <w:szCs w:val="16"/>
          <w:lang w:eastAsia="el-GR"/>
        </w:rPr>
        <w:t>Operating Regulations</w:t>
      </w:r>
      <w:r w:rsidR="002E3941" w:rsidRPr="009A3D49">
        <w:rPr>
          <w:rFonts w:ascii="Verdana" w:hAnsi="Verdana" w:cs="Arial"/>
          <w:sz w:val="16"/>
          <w:szCs w:val="16"/>
          <w:lang w:eastAsia="el-GR"/>
        </w:rPr>
        <w:t xml:space="preserve">. </w:t>
      </w:r>
    </w:p>
    <w:p w:rsidR="002E3941" w:rsidRPr="009A3D49" w:rsidRDefault="00C03976" w:rsidP="00AE3A95">
      <w:pPr>
        <w:numPr>
          <w:ilvl w:val="1"/>
          <w:numId w:val="31"/>
        </w:numPr>
        <w:spacing w:before="120" w:after="120" w:line="240" w:lineRule="atLeast"/>
        <w:ind w:hanging="540"/>
        <w:jc w:val="both"/>
        <w:rPr>
          <w:rFonts w:ascii="Verdana" w:hAnsi="Verdana" w:cs="Arial"/>
          <w:sz w:val="16"/>
          <w:szCs w:val="16"/>
          <w:lang w:eastAsia="el-GR"/>
        </w:rPr>
      </w:pPr>
      <w:r>
        <w:rPr>
          <w:rFonts w:ascii="Verdana" w:hAnsi="Verdana" w:cs="Arial"/>
          <w:sz w:val="16"/>
          <w:szCs w:val="16"/>
          <w:lang w:eastAsia="el-GR"/>
        </w:rPr>
        <w:t xml:space="preserve">Open and keep in its name a </w:t>
      </w:r>
      <w:r w:rsidR="00CD3EDB">
        <w:rPr>
          <w:rFonts w:ascii="Verdana" w:hAnsi="Verdana" w:cs="Arial"/>
          <w:sz w:val="16"/>
          <w:szCs w:val="16"/>
          <w:lang w:eastAsia="el-GR"/>
        </w:rPr>
        <w:t>cash settlement account (“PM account”) in</w:t>
      </w:r>
      <w:r w:rsidR="002E3941" w:rsidRPr="009A3D49">
        <w:rPr>
          <w:rFonts w:ascii="Verdana" w:hAnsi="Verdana" w:cs="Arial"/>
          <w:sz w:val="16"/>
          <w:szCs w:val="16"/>
          <w:lang w:eastAsia="el-GR"/>
        </w:rPr>
        <w:t xml:space="preserve"> TARGET2 </w:t>
      </w:r>
      <w:r w:rsidR="00CD3EDB">
        <w:rPr>
          <w:rFonts w:ascii="Verdana" w:hAnsi="Verdana" w:cs="Arial"/>
          <w:sz w:val="16"/>
          <w:szCs w:val="16"/>
          <w:lang w:eastAsia="el-GR"/>
        </w:rPr>
        <w:t xml:space="preserve">in </w:t>
      </w:r>
      <w:r w:rsidR="00C975B3">
        <w:rPr>
          <w:rFonts w:ascii="Verdana" w:hAnsi="Verdana" w:cs="Arial"/>
          <w:sz w:val="16"/>
          <w:szCs w:val="16"/>
          <w:lang w:eastAsia="el-GR"/>
        </w:rPr>
        <w:t>its Central Bank</w:t>
      </w:r>
      <w:r w:rsidR="00CD3EDB">
        <w:rPr>
          <w:rFonts w:ascii="Verdana" w:hAnsi="Verdana" w:cs="Arial"/>
          <w:sz w:val="16"/>
          <w:szCs w:val="16"/>
          <w:lang w:eastAsia="el-GR"/>
        </w:rPr>
        <w:t>, in order to be able to submit payment orders or receive payments through</w:t>
      </w:r>
      <w:r w:rsidR="002E3941" w:rsidRPr="009A3D49">
        <w:rPr>
          <w:rFonts w:ascii="Verdana" w:hAnsi="Verdana" w:cs="Arial"/>
          <w:sz w:val="16"/>
          <w:szCs w:val="16"/>
          <w:lang w:eastAsia="el-GR"/>
        </w:rPr>
        <w:t xml:space="preserve"> TARGET2, </w:t>
      </w:r>
      <w:r w:rsidR="00CD3EDB">
        <w:rPr>
          <w:rFonts w:ascii="Verdana" w:hAnsi="Verdana" w:cs="Arial"/>
          <w:sz w:val="16"/>
          <w:szCs w:val="16"/>
          <w:lang w:eastAsia="el-GR"/>
        </w:rPr>
        <w:t xml:space="preserve">according to the </w:t>
      </w:r>
      <w:r w:rsidR="00CD3EDB" w:rsidRPr="009A3D49">
        <w:rPr>
          <w:rFonts w:ascii="Verdana" w:hAnsi="Verdana" w:cs="Arial"/>
          <w:sz w:val="16"/>
          <w:szCs w:val="16"/>
          <w:lang w:eastAsia="el-GR"/>
        </w:rPr>
        <w:t>TARGET2</w:t>
      </w:r>
      <w:r w:rsidR="00C975B3">
        <w:rPr>
          <w:rFonts w:ascii="Verdana" w:hAnsi="Verdana" w:cs="Arial"/>
          <w:sz w:val="16"/>
          <w:szCs w:val="16"/>
          <w:lang w:eastAsia="el-GR"/>
        </w:rPr>
        <w:t xml:space="preserve"> Guidelines</w:t>
      </w:r>
      <w:r w:rsidR="002E3941" w:rsidRPr="009A3D49">
        <w:rPr>
          <w:rFonts w:ascii="Verdana" w:hAnsi="Verdana" w:cs="Arial"/>
          <w:sz w:val="16"/>
          <w:szCs w:val="16"/>
          <w:lang w:eastAsia="el-GR"/>
        </w:rPr>
        <w:t xml:space="preserve">. </w:t>
      </w:r>
    </w:p>
    <w:p w:rsidR="002E3941" w:rsidRPr="009A3D49" w:rsidRDefault="00CD3EDB" w:rsidP="00AE3A95">
      <w:pPr>
        <w:numPr>
          <w:ilvl w:val="1"/>
          <w:numId w:val="31"/>
        </w:numPr>
        <w:spacing w:before="120" w:after="120" w:line="240" w:lineRule="atLeast"/>
        <w:ind w:hanging="540"/>
        <w:jc w:val="both"/>
        <w:rPr>
          <w:rFonts w:ascii="Verdana" w:hAnsi="Verdana" w:cs="Arial"/>
          <w:sz w:val="16"/>
          <w:szCs w:val="16"/>
          <w:lang w:eastAsia="el-GR"/>
        </w:rPr>
      </w:pPr>
      <w:r>
        <w:rPr>
          <w:rFonts w:ascii="Verdana" w:hAnsi="Verdana" w:cs="Arial"/>
          <w:sz w:val="16"/>
          <w:szCs w:val="16"/>
          <w:lang w:eastAsia="el-GR"/>
        </w:rPr>
        <w:t xml:space="preserve">Open and keep, following HELEX’s instructions, and always in compliance with the </w:t>
      </w:r>
      <w:r w:rsidRPr="009A3D49">
        <w:rPr>
          <w:rFonts w:ascii="Verdana" w:hAnsi="Verdana" w:cs="Arial"/>
          <w:sz w:val="16"/>
          <w:szCs w:val="16"/>
          <w:lang w:eastAsia="el-GR"/>
        </w:rPr>
        <w:t>TARGET2</w:t>
      </w:r>
      <w:r w:rsidR="00822345">
        <w:rPr>
          <w:rFonts w:ascii="Verdana" w:hAnsi="Verdana" w:cs="Arial"/>
          <w:sz w:val="16"/>
          <w:szCs w:val="16"/>
          <w:lang w:eastAsia="el-GR"/>
        </w:rPr>
        <w:t xml:space="preserve"> Guidelines</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one or more subaccounts under the above PM account under </w:t>
      </w:r>
      <w:r w:rsidR="002E3941" w:rsidRPr="009A3D49">
        <w:rPr>
          <w:rFonts w:ascii="Verdana" w:hAnsi="Verdana" w:cs="Arial"/>
          <w:sz w:val="16"/>
          <w:szCs w:val="16"/>
          <w:lang w:eastAsia="el-GR"/>
        </w:rPr>
        <w:t>2.4</w:t>
      </w:r>
      <w:r>
        <w:rPr>
          <w:rFonts w:ascii="Verdana" w:hAnsi="Verdana" w:cs="Arial"/>
          <w:sz w:val="16"/>
          <w:szCs w:val="16"/>
          <w:lang w:eastAsia="el-GR"/>
        </w:rPr>
        <w:t xml:space="preserve">, for the Operators to whom it renders the relevant services, including itself as Operator, where the case so requires, in order to serve any eventual different needs of cash settlement, through </w:t>
      </w:r>
      <w:r w:rsidR="002E3941" w:rsidRPr="009A3D49">
        <w:rPr>
          <w:rFonts w:ascii="Verdana" w:hAnsi="Verdana" w:cs="Arial"/>
          <w:sz w:val="16"/>
          <w:szCs w:val="16"/>
          <w:lang w:eastAsia="el-GR"/>
        </w:rPr>
        <w:t>TARGET2</w:t>
      </w:r>
      <w:r>
        <w:rPr>
          <w:rFonts w:ascii="Verdana" w:hAnsi="Verdana" w:cs="Arial"/>
          <w:sz w:val="16"/>
          <w:szCs w:val="16"/>
          <w:lang w:eastAsia="el-GR"/>
        </w:rPr>
        <w:t>, in relation to the, from time to time, private settlement systems of the central counterparty or clearing with which HELEX is connected</w:t>
      </w:r>
      <w:r w:rsidR="002E3941" w:rsidRPr="009A3D49">
        <w:rPr>
          <w:rFonts w:ascii="Verdana" w:hAnsi="Verdana" w:cs="Arial"/>
          <w:sz w:val="16"/>
          <w:szCs w:val="16"/>
          <w:lang w:eastAsia="el-GR"/>
        </w:rPr>
        <w:t xml:space="preserve">. </w:t>
      </w:r>
      <w:r>
        <w:rPr>
          <w:rFonts w:ascii="Verdana" w:hAnsi="Verdana" w:cs="Arial"/>
          <w:sz w:val="16"/>
          <w:szCs w:val="16"/>
          <w:lang w:eastAsia="el-GR"/>
        </w:rPr>
        <w:t>For opening each subaccount, the Settlement Bank must duly fill out the standard statement “</w:t>
      </w:r>
      <w:r w:rsidR="002E3941" w:rsidRPr="009A3D49">
        <w:rPr>
          <w:rFonts w:ascii="Verdana" w:hAnsi="Verdana" w:cs="Arial"/>
          <w:sz w:val="16"/>
          <w:szCs w:val="16"/>
          <w:lang w:eastAsia="el-GR"/>
        </w:rPr>
        <w:t>TARGET2 form collection of Static Data - Sub Ac</w:t>
      </w:r>
      <w:r>
        <w:rPr>
          <w:rFonts w:ascii="Verdana" w:hAnsi="Verdana" w:cs="Arial"/>
          <w:sz w:val="16"/>
          <w:szCs w:val="16"/>
          <w:lang w:eastAsia="el-GR"/>
        </w:rPr>
        <w:t>count for dedicated liquidity –“</w:t>
      </w:r>
      <w:r w:rsidR="002E3941" w:rsidRPr="009A3D49">
        <w:rPr>
          <w:rFonts w:ascii="Verdana" w:hAnsi="Verdana" w:cs="Arial"/>
          <w:sz w:val="16"/>
          <w:szCs w:val="16"/>
          <w:lang w:eastAsia="el-GR"/>
        </w:rPr>
        <w:t xml:space="preserve"> (</w:t>
      </w:r>
      <w:r>
        <w:rPr>
          <w:rFonts w:ascii="Verdana" w:hAnsi="Verdana" w:cs="Arial"/>
          <w:sz w:val="16"/>
          <w:szCs w:val="16"/>
          <w:lang w:eastAsia="el-GR"/>
        </w:rPr>
        <w:t>Form</w:t>
      </w:r>
      <w:r w:rsidR="002E3941" w:rsidRPr="009A3D49">
        <w:rPr>
          <w:rFonts w:ascii="Verdana" w:hAnsi="Verdana" w:cs="Arial"/>
          <w:sz w:val="16"/>
          <w:szCs w:val="16"/>
          <w:lang w:eastAsia="el-GR"/>
        </w:rPr>
        <w:t xml:space="preserve"> 1014) </w:t>
      </w:r>
      <w:r>
        <w:rPr>
          <w:rFonts w:ascii="Verdana" w:hAnsi="Verdana" w:cs="Arial"/>
          <w:sz w:val="16"/>
          <w:szCs w:val="16"/>
          <w:lang w:eastAsia="el-GR"/>
        </w:rPr>
        <w:t>and must submit such statement to the Bank of Greece</w:t>
      </w:r>
      <w:r w:rsidR="002E3941" w:rsidRPr="009A3D49">
        <w:rPr>
          <w:rFonts w:ascii="Verdana" w:hAnsi="Verdana" w:cs="Arial"/>
          <w:sz w:val="16"/>
          <w:szCs w:val="16"/>
          <w:lang w:eastAsia="el-GR"/>
        </w:rPr>
        <w:t xml:space="preserve"> </w:t>
      </w:r>
      <w:r>
        <w:rPr>
          <w:rFonts w:ascii="Verdana" w:hAnsi="Verdana" w:cs="Arial"/>
          <w:sz w:val="16"/>
          <w:szCs w:val="16"/>
          <w:lang w:eastAsia="el-GR"/>
        </w:rPr>
        <w:t>itself</w:t>
      </w:r>
      <w:r w:rsidR="002E3941" w:rsidRPr="009A3D49">
        <w:rPr>
          <w:rFonts w:ascii="Verdana" w:hAnsi="Verdana" w:cs="Arial"/>
          <w:sz w:val="16"/>
          <w:szCs w:val="16"/>
          <w:lang w:eastAsia="el-GR"/>
        </w:rPr>
        <w:t xml:space="preserve">, </w:t>
      </w:r>
      <w:r>
        <w:rPr>
          <w:rFonts w:ascii="Verdana" w:hAnsi="Verdana" w:cs="Arial"/>
          <w:sz w:val="16"/>
          <w:szCs w:val="16"/>
          <w:lang w:eastAsia="el-GR"/>
        </w:rPr>
        <w:t>communicating a copy thereof to HELEX or through HELEX, according to HELEX’s procedures</w:t>
      </w:r>
      <w:r w:rsidR="002E3941" w:rsidRPr="009A3D49">
        <w:rPr>
          <w:rFonts w:ascii="Verdana" w:hAnsi="Verdana" w:cs="Arial"/>
          <w:sz w:val="16"/>
          <w:szCs w:val="16"/>
          <w:lang w:eastAsia="el-GR"/>
        </w:rPr>
        <w:t>.</w:t>
      </w:r>
      <w:r w:rsidR="008F68CE" w:rsidRPr="009A3D49">
        <w:rPr>
          <w:rFonts w:ascii="Verdana" w:hAnsi="Verdana" w:cs="Arial"/>
          <w:sz w:val="16"/>
          <w:szCs w:val="16"/>
          <w:lang w:eastAsia="el-GR"/>
        </w:rPr>
        <w:t xml:space="preserve"> </w:t>
      </w:r>
      <w:r w:rsidR="00D85BAB">
        <w:rPr>
          <w:rFonts w:ascii="Verdana" w:hAnsi="Verdana" w:cs="Arial"/>
          <w:sz w:val="16"/>
          <w:szCs w:val="16"/>
          <w:lang w:eastAsia="el-GR"/>
        </w:rPr>
        <w:t>The Settlement Bank shall accept HELEX’s right to determine the above subaccounts with specific terms and characteristics, in order for them to stand out in the cash settlement procedures and for HELEX to be in the position to check their and their Operators’ update with regard to the cash settlement</w:t>
      </w:r>
      <w:r w:rsidR="002E3941" w:rsidRPr="009A3D49">
        <w:rPr>
          <w:rFonts w:ascii="Verdana" w:hAnsi="Verdana" w:cs="Arial"/>
          <w:sz w:val="16"/>
          <w:szCs w:val="16"/>
          <w:lang w:eastAsia="el-GR"/>
        </w:rPr>
        <w:t xml:space="preserve">. </w:t>
      </w:r>
    </w:p>
    <w:p w:rsidR="002E3941" w:rsidRPr="009A3D49" w:rsidRDefault="00D5399F" w:rsidP="00AE3A95">
      <w:pPr>
        <w:numPr>
          <w:ilvl w:val="1"/>
          <w:numId w:val="31"/>
        </w:numPr>
        <w:spacing w:before="120" w:after="120" w:line="240" w:lineRule="atLeast"/>
        <w:ind w:hanging="540"/>
        <w:jc w:val="both"/>
        <w:rPr>
          <w:rFonts w:ascii="Verdana" w:hAnsi="Verdana" w:cs="Arial"/>
          <w:sz w:val="16"/>
          <w:szCs w:val="16"/>
          <w:lang w:eastAsia="el-GR"/>
        </w:rPr>
      </w:pPr>
      <w:r>
        <w:rPr>
          <w:rFonts w:ascii="Verdana" w:hAnsi="Verdana" w:cs="Arial"/>
          <w:sz w:val="16"/>
          <w:szCs w:val="16"/>
          <w:lang w:eastAsia="el-GR"/>
        </w:rPr>
        <w:t xml:space="preserve">Open, with a simple application filed by an Operator, and keep on behalf of the Operator in </w:t>
      </w:r>
      <w:r w:rsidR="002E3941" w:rsidRPr="009A3D49">
        <w:rPr>
          <w:rFonts w:ascii="Verdana" w:hAnsi="Verdana" w:cs="Arial"/>
          <w:sz w:val="16"/>
          <w:szCs w:val="16"/>
          <w:lang w:eastAsia="el-GR"/>
        </w:rPr>
        <w:t xml:space="preserve">TARGET2 </w:t>
      </w:r>
      <w:r>
        <w:rPr>
          <w:rFonts w:ascii="Verdana" w:hAnsi="Verdana" w:cs="Arial"/>
          <w:sz w:val="16"/>
          <w:szCs w:val="16"/>
          <w:lang w:eastAsia="el-GR"/>
        </w:rPr>
        <w:t xml:space="preserve">a subaccount in its PM account, as set out in </w:t>
      </w:r>
      <w:r w:rsidR="002E3941" w:rsidRPr="009A3D49">
        <w:rPr>
          <w:rFonts w:ascii="Verdana" w:hAnsi="Verdana" w:cs="Arial"/>
          <w:sz w:val="16"/>
          <w:szCs w:val="16"/>
          <w:lang w:eastAsia="el-GR"/>
        </w:rPr>
        <w:t>TARGET2</w:t>
      </w:r>
      <w:r w:rsidR="00822345">
        <w:rPr>
          <w:rFonts w:ascii="Verdana" w:hAnsi="Verdana" w:cs="Arial"/>
          <w:sz w:val="16"/>
          <w:szCs w:val="16"/>
          <w:lang w:eastAsia="el-GR"/>
        </w:rPr>
        <w:t xml:space="preserve"> Guidelines</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for the settlement of the Operator’s cash rights and </w:t>
      </w:r>
      <w:r w:rsidR="009B6B1E">
        <w:rPr>
          <w:rFonts w:ascii="Verdana" w:hAnsi="Verdana" w:cs="Arial"/>
          <w:sz w:val="16"/>
          <w:szCs w:val="16"/>
          <w:lang w:eastAsia="el-GR"/>
        </w:rPr>
        <w:t>obligations</w:t>
      </w:r>
      <w:r>
        <w:rPr>
          <w:rFonts w:ascii="Verdana" w:hAnsi="Verdana" w:cs="Arial"/>
          <w:sz w:val="16"/>
          <w:szCs w:val="16"/>
          <w:lang w:eastAsia="el-GR"/>
        </w:rPr>
        <w:t>, as such result according to HELEX’s payment orders</w:t>
      </w:r>
      <w:r w:rsidR="002E3941" w:rsidRPr="009A3D49">
        <w:rPr>
          <w:rFonts w:ascii="Verdana" w:hAnsi="Verdana" w:cs="Arial"/>
          <w:sz w:val="16"/>
          <w:szCs w:val="16"/>
          <w:lang w:eastAsia="el-GR"/>
        </w:rPr>
        <w:t xml:space="preserve">. </w:t>
      </w:r>
    </w:p>
    <w:p w:rsidR="002E3941" w:rsidRPr="009A3D49" w:rsidRDefault="009B6B1E" w:rsidP="00AE3A95">
      <w:pPr>
        <w:numPr>
          <w:ilvl w:val="1"/>
          <w:numId w:val="31"/>
        </w:numPr>
        <w:spacing w:before="120" w:after="120" w:line="240" w:lineRule="atLeast"/>
        <w:ind w:hanging="540"/>
        <w:jc w:val="both"/>
        <w:rPr>
          <w:rFonts w:ascii="Verdana" w:hAnsi="Verdana" w:cs="Arial"/>
          <w:sz w:val="16"/>
          <w:szCs w:val="16"/>
          <w:lang w:eastAsia="el-GR"/>
        </w:rPr>
      </w:pPr>
      <w:r>
        <w:rPr>
          <w:rFonts w:ascii="Verdana" w:hAnsi="Verdana" w:cs="Arial"/>
          <w:sz w:val="16"/>
          <w:szCs w:val="16"/>
          <w:lang w:eastAsia="el-GR"/>
        </w:rPr>
        <w:t>Keep a subaccount for each Operator, to whom it shall render relevant services for</w:t>
      </w:r>
      <w:r w:rsidR="002E3941" w:rsidRPr="009A3D49">
        <w:rPr>
          <w:rFonts w:ascii="Verdana" w:hAnsi="Verdana" w:cs="Arial"/>
          <w:sz w:val="16"/>
          <w:szCs w:val="16"/>
          <w:lang w:eastAsia="el-GR"/>
        </w:rPr>
        <w:t xml:space="preserve">: </w:t>
      </w:r>
    </w:p>
    <w:p w:rsidR="002E3941" w:rsidRPr="009A3D49" w:rsidRDefault="009B6B1E" w:rsidP="00AE3A95">
      <w:pPr>
        <w:numPr>
          <w:ilvl w:val="2"/>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settlement of the Operator’s cash rights and obligations resulting from market trades (such as shares, Exchange Traded Funds (ETF), bonds</w:t>
      </w:r>
      <w:r w:rsidR="002E3941" w:rsidRPr="009A3D49">
        <w:rPr>
          <w:rFonts w:ascii="Verdana" w:hAnsi="Verdana" w:cs="Arial"/>
          <w:sz w:val="16"/>
          <w:szCs w:val="16"/>
          <w:lang w:eastAsia="el-GR"/>
        </w:rPr>
        <w:t xml:space="preserve">) </w:t>
      </w:r>
      <w:r w:rsidR="005E58E4">
        <w:rPr>
          <w:rFonts w:ascii="Verdana" w:hAnsi="Verdana" w:cs="Arial"/>
          <w:sz w:val="16"/>
          <w:szCs w:val="16"/>
          <w:lang w:eastAsia="el-GR"/>
        </w:rPr>
        <w:t>in ATHEX and their clearing through the Securities Clearing System operated by ATHEXClear</w:t>
      </w:r>
    </w:p>
    <w:p w:rsidR="002E3941" w:rsidRPr="009A3D49" w:rsidRDefault="005E58E4" w:rsidP="00AE3A95">
      <w:pPr>
        <w:numPr>
          <w:ilvl w:val="2"/>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settlement of the Operator’s cash rights and obligations resulting from OTC or other trades on transferable securities, listed or monitored in the DSS.</w:t>
      </w:r>
      <w:r w:rsidR="002E3941" w:rsidRPr="009A3D49">
        <w:rPr>
          <w:rFonts w:ascii="Verdana" w:hAnsi="Verdana" w:cs="Arial"/>
          <w:sz w:val="16"/>
          <w:szCs w:val="16"/>
          <w:lang w:eastAsia="el-GR"/>
        </w:rPr>
        <w:t xml:space="preserve"> </w:t>
      </w:r>
    </w:p>
    <w:p w:rsidR="002E3941" w:rsidRPr="009A3D49" w:rsidRDefault="005E58E4" w:rsidP="00AE3A95">
      <w:pPr>
        <w:numPr>
          <w:ilvl w:val="2"/>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payment by the Operator of any kind of taxes, charges and other rights in favour of HELEX, ATHEXCLear, ATHEX or other third parties, and</w:t>
      </w:r>
      <w:r w:rsidR="002E3941" w:rsidRPr="009A3D49">
        <w:rPr>
          <w:rFonts w:ascii="Verdana" w:hAnsi="Verdana" w:cs="Arial"/>
          <w:sz w:val="16"/>
          <w:szCs w:val="16"/>
          <w:lang w:eastAsia="el-GR"/>
        </w:rPr>
        <w:t xml:space="preserve"> </w:t>
      </w:r>
    </w:p>
    <w:p w:rsidR="002E3941" w:rsidRPr="009A3D49" w:rsidRDefault="00CF737C" w:rsidP="00AE3A95">
      <w:pPr>
        <w:numPr>
          <w:ilvl w:val="2"/>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lastRenderedPageBreak/>
        <w:t>The collection by the Operator of the income generated by the securities (such as dividends, interest, etc.,</w:t>
      </w:r>
      <w:r w:rsidR="002E3941" w:rsidRPr="009A3D49">
        <w:rPr>
          <w:rFonts w:ascii="Verdana" w:hAnsi="Verdana" w:cs="Arial"/>
          <w:sz w:val="16"/>
          <w:szCs w:val="16"/>
          <w:lang w:eastAsia="el-GR"/>
        </w:rPr>
        <w:t xml:space="preserve">). </w:t>
      </w:r>
    </w:p>
    <w:p w:rsidR="002E3941" w:rsidRPr="009A3D49" w:rsidRDefault="007C5B3B"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More specifically, taking into account the Derivatives Clearing System operated by ATHEXClear keep</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in addition to the subaccount under </w:t>
      </w:r>
      <w:r w:rsidR="002E3941" w:rsidRPr="009A3D49">
        <w:rPr>
          <w:rFonts w:ascii="Verdana" w:hAnsi="Verdana" w:cs="Arial"/>
          <w:sz w:val="16"/>
          <w:szCs w:val="16"/>
          <w:lang w:eastAsia="el-GR"/>
        </w:rPr>
        <w:t>2.7</w:t>
      </w:r>
      <w:r>
        <w:rPr>
          <w:rFonts w:ascii="Verdana" w:hAnsi="Verdana" w:cs="Arial"/>
          <w:sz w:val="16"/>
          <w:szCs w:val="16"/>
          <w:lang w:eastAsia="el-GR"/>
        </w:rPr>
        <w:t>, a subaccount for the Operator that participates in the above System as Clearing Member, for</w:t>
      </w:r>
      <w:r w:rsidR="002E3941" w:rsidRPr="009A3D49">
        <w:rPr>
          <w:rFonts w:ascii="Verdana" w:hAnsi="Verdana" w:cs="Arial"/>
          <w:sz w:val="16"/>
          <w:szCs w:val="16"/>
          <w:lang w:eastAsia="el-GR"/>
        </w:rPr>
        <w:t xml:space="preserve">: </w:t>
      </w:r>
    </w:p>
    <w:p w:rsidR="002E3941" w:rsidRPr="009A3D49" w:rsidRDefault="008217F7" w:rsidP="00AE3A95">
      <w:pPr>
        <w:numPr>
          <w:ilvl w:val="2"/>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The settlement of the Operator’s cash rights and obligations as Clearing Member </w:t>
      </w:r>
      <w:r w:rsidR="00075832">
        <w:rPr>
          <w:rFonts w:ascii="Verdana" w:hAnsi="Verdana" w:cs="Arial"/>
          <w:sz w:val="16"/>
          <w:szCs w:val="16"/>
          <w:lang w:eastAsia="el-GR"/>
        </w:rPr>
        <w:t xml:space="preserve">from the relevant clearing of derivatives, including those that result from repo contract (ATHEX’s </w:t>
      </w:r>
      <w:r w:rsidR="002E3941" w:rsidRPr="009A3D49">
        <w:rPr>
          <w:rFonts w:ascii="Verdana" w:hAnsi="Verdana" w:cs="Arial"/>
          <w:sz w:val="16"/>
          <w:szCs w:val="16"/>
          <w:lang w:eastAsia="el-GR"/>
        </w:rPr>
        <w:t xml:space="preserve">Repo </w:t>
      </w:r>
      <w:r w:rsidR="00075832">
        <w:rPr>
          <w:rFonts w:ascii="Verdana" w:hAnsi="Verdana" w:cs="Arial"/>
          <w:sz w:val="16"/>
          <w:szCs w:val="16"/>
          <w:lang w:eastAsia="el-GR"/>
        </w:rPr>
        <w:t>Market</w:t>
      </w:r>
      <w:r w:rsidR="002E3941" w:rsidRPr="009A3D49">
        <w:rPr>
          <w:rFonts w:ascii="Verdana" w:hAnsi="Verdana" w:cs="Arial"/>
          <w:sz w:val="16"/>
          <w:szCs w:val="16"/>
          <w:lang w:eastAsia="el-GR"/>
        </w:rPr>
        <w:t xml:space="preserve">) </w:t>
      </w:r>
    </w:p>
    <w:p w:rsidR="002E3941" w:rsidRPr="009A3D49" w:rsidRDefault="00075832" w:rsidP="00AE3A95">
      <w:pPr>
        <w:numPr>
          <w:ilvl w:val="2"/>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The payment by the Operator of any kind of taxes, charges and other rights in favour of HELEX, ATHEXCLear, ATHEX or other third parties</w:t>
      </w:r>
      <w:r w:rsidRPr="009A3D49">
        <w:rPr>
          <w:rFonts w:ascii="Verdana" w:hAnsi="Verdana" w:cs="Arial"/>
          <w:sz w:val="16"/>
          <w:szCs w:val="16"/>
          <w:lang w:eastAsia="el-GR"/>
        </w:rPr>
        <w:t xml:space="preserve"> </w:t>
      </w:r>
      <w:r>
        <w:rPr>
          <w:rFonts w:ascii="Verdana" w:hAnsi="Verdana" w:cs="Arial"/>
          <w:sz w:val="16"/>
          <w:szCs w:val="16"/>
          <w:lang w:eastAsia="el-GR"/>
        </w:rPr>
        <w:t>regarding the above trades, and</w:t>
      </w:r>
      <w:r w:rsidR="002E3941" w:rsidRPr="009A3D49">
        <w:rPr>
          <w:rFonts w:ascii="Verdana" w:hAnsi="Verdana" w:cs="Arial"/>
          <w:sz w:val="16"/>
          <w:szCs w:val="16"/>
          <w:lang w:eastAsia="el-GR"/>
        </w:rPr>
        <w:t xml:space="preserve"> </w:t>
      </w:r>
    </w:p>
    <w:p w:rsidR="002E3941" w:rsidRPr="009A3D49" w:rsidRDefault="00075832"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Keep, in addition to the subaccounts under </w:t>
      </w:r>
      <w:r w:rsidR="002E3941" w:rsidRPr="009A3D49">
        <w:rPr>
          <w:rFonts w:ascii="Verdana" w:hAnsi="Verdana" w:cs="Arial"/>
          <w:sz w:val="16"/>
          <w:szCs w:val="16"/>
          <w:lang w:eastAsia="el-GR"/>
        </w:rPr>
        <w:t xml:space="preserve">2.7 </w:t>
      </w:r>
      <w:r>
        <w:rPr>
          <w:rFonts w:ascii="Verdana" w:hAnsi="Verdana" w:cs="Arial"/>
          <w:sz w:val="16"/>
          <w:szCs w:val="16"/>
          <w:lang w:eastAsia="el-GR"/>
        </w:rPr>
        <w:t>and</w:t>
      </w:r>
      <w:r w:rsidR="002E3941" w:rsidRPr="009A3D49">
        <w:rPr>
          <w:rFonts w:ascii="Verdana" w:hAnsi="Verdana" w:cs="Arial"/>
          <w:sz w:val="16"/>
          <w:szCs w:val="16"/>
          <w:lang w:eastAsia="el-GR"/>
        </w:rPr>
        <w:t xml:space="preserve"> 2.8, </w:t>
      </w:r>
      <w:r>
        <w:rPr>
          <w:rFonts w:ascii="Verdana" w:hAnsi="Verdana" w:cs="Arial"/>
          <w:sz w:val="16"/>
          <w:szCs w:val="16"/>
          <w:lang w:eastAsia="el-GR"/>
        </w:rPr>
        <w:t>all other subaccounts for Operator or individual categories of Operators suggested by HELEX for the needs of the cash settlement HELEX carries out or intends to carry out, in relation to other financial instruments and products, in general, that are accepted as object of trade in the capital market (by way of indication rights of emissions, energy p</w:t>
      </w:r>
      <w:r w:rsidR="00741F4D">
        <w:rPr>
          <w:rFonts w:ascii="Verdana" w:hAnsi="Verdana" w:cs="Arial"/>
          <w:sz w:val="16"/>
          <w:szCs w:val="16"/>
          <w:lang w:eastAsia="el-GR"/>
        </w:rPr>
        <w:t>roducts)</w:t>
      </w:r>
      <w:r w:rsidR="002E3941" w:rsidRPr="009A3D49">
        <w:rPr>
          <w:rFonts w:ascii="Verdana" w:hAnsi="Verdana" w:cs="Arial"/>
          <w:sz w:val="16"/>
          <w:szCs w:val="16"/>
          <w:lang w:eastAsia="el-GR"/>
        </w:rPr>
        <w:t>.</w:t>
      </w:r>
    </w:p>
    <w:p w:rsidR="002E3941" w:rsidRPr="009A3D49" w:rsidRDefault="001A78A4"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See that each one of the above Operator’s subaccounts communicates with the commercial cash accounts indicated by the Operator, in order to carry out, according to TARGET2</w:t>
      </w:r>
      <w:r w:rsidR="00822345">
        <w:rPr>
          <w:rFonts w:ascii="Verdana" w:hAnsi="Verdana" w:cs="Arial"/>
          <w:sz w:val="16"/>
          <w:szCs w:val="16"/>
          <w:lang w:eastAsia="el-GR"/>
        </w:rPr>
        <w:t xml:space="preserve"> Guidelines</w:t>
      </w:r>
      <w:r>
        <w:rPr>
          <w:rFonts w:ascii="Verdana" w:hAnsi="Verdana" w:cs="Arial"/>
          <w:sz w:val="16"/>
          <w:szCs w:val="16"/>
          <w:lang w:eastAsia="el-GR"/>
        </w:rPr>
        <w:t xml:space="preserve"> and HELEX’s procedures, the necessary cash flows from the Operator’s commercial accounts to the respective subaccounts in the Settlement Bank and vice versa, for the sake of the smooth operation of the settlement.</w:t>
      </w:r>
      <w:r w:rsidR="002E3941" w:rsidRPr="009A3D49">
        <w:rPr>
          <w:rFonts w:ascii="Verdana" w:hAnsi="Verdana" w:cs="Arial"/>
          <w:sz w:val="16"/>
          <w:szCs w:val="16"/>
          <w:lang w:eastAsia="el-GR"/>
        </w:rPr>
        <w:t xml:space="preserve"> </w:t>
      </w:r>
      <w:r w:rsidR="008D065E">
        <w:rPr>
          <w:rFonts w:ascii="Verdana" w:hAnsi="Verdana" w:cs="Arial"/>
          <w:sz w:val="16"/>
          <w:szCs w:val="16"/>
          <w:lang w:eastAsia="el-GR"/>
        </w:rPr>
        <w:t xml:space="preserve">In order to safeguard this communication the Settlement Bank shall have access to the, from time to time, commercial cash accounts of the Operator or, alternatively, the Operator shall </w:t>
      </w:r>
      <w:r w:rsidR="00995740">
        <w:rPr>
          <w:rFonts w:ascii="Verdana" w:hAnsi="Verdana" w:cs="Arial"/>
          <w:sz w:val="16"/>
          <w:szCs w:val="16"/>
          <w:lang w:eastAsia="el-GR"/>
        </w:rPr>
        <w:t xml:space="preserve">see that the necessary cash is </w:t>
      </w:r>
      <w:r w:rsidR="00995740">
        <w:rPr>
          <w:rFonts w:ascii="Verdana" w:hAnsi="Verdana" w:cs="Arial"/>
          <w:sz w:val="16"/>
          <w:szCs w:val="16"/>
          <w:lang w:val="en-US" w:eastAsia="el-GR"/>
        </w:rPr>
        <w:t>transferred, each time, to the Settlement Bank, through the relevant accounts, according to the specific procedures to be agreed, each time, between the Settlement Bank and the Operator.</w:t>
      </w:r>
    </w:p>
    <w:p w:rsidR="002E3941" w:rsidRPr="009A3D49" w:rsidRDefault="00F80D70"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Proceed </w:t>
      </w:r>
      <w:r w:rsidR="000C2CDE">
        <w:rPr>
          <w:rFonts w:ascii="Verdana" w:hAnsi="Verdana" w:cs="Arial"/>
          <w:sz w:val="16"/>
          <w:szCs w:val="16"/>
          <w:lang w:eastAsia="el-GR"/>
        </w:rPr>
        <w:t xml:space="preserve">timely </w:t>
      </w:r>
      <w:r>
        <w:rPr>
          <w:rFonts w:ascii="Verdana" w:hAnsi="Verdana" w:cs="Arial"/>
          <w:sz w:val="16"/>
          <w:szCs w:val="16"/>
          <w:lang w:eastAsia="el-GR"/>
        </w:rPr>
        <w:t>to</w:t>
      </w:r>
      <w:r w:rsidR="000C2CDE">
        <w:rPr>
          <w:rFonts w:ascii="Verdana" w:hAnsi="Verdana" w:cs="Arial"/>
          <w:sz w:val="16"/>
          <w:szCs w:val="16"/>
          <w:lang w:eastAsia="el-GR"/>
        </w:rPr>
        <w:t xml:space="preserve"> the necessary debiting and crediting between the Operator’s Subaccount </w:t>
      </w:r>
      <w:r w:rsidR="00D31084">
        <w:rPr>
          <w:rFonts w:ascii="Verdana" w:hAnsi="Verdana" w:cs="Arial"/>
          <w:sz w:val="16"/>
          <w:szCs w:val="16"/>
          <w:lang w:eastAsia="el-GR"/>
        </w:rPr>
        <w:t xml:space="preserve">and </w:t>
      </w:r>
      <w:r>
        <w:rPr>
          <w:rFonts w:ascii="Verdana" w:hAnsi="Verdana" w:cs="Arial"/>
          <w:sz w:val="16"/>
          <w:szCs w:val="16"/>
          <w:lang w:eastAsia="el-GR"/>
        </w:rPr>
        <w:t>its</w:t>
      </w:r>
      <w:r w:rsidR="00D31084">
        <w:rPr>
          <w:rFonts w:ascii="Verdana" w:hAnsi="Verdana" w:cs="Arial"/>
          <w:sz w:val="16"/>
          <w:szCs w:val="16"/>
          <w:lang w:eastAsia="el-GR"/>
        </w:rPr>
        <w:t xml:space="preserve"> PM Account </w:t>
      </w:r>
      <w:r>
        <w:rPr>
          <w:rFonts w:ascii="Verdana" w:hAnsi="Verdana" w:cs="Arial"/>
          <w:sz w:val="16"/>
          <w:szCs w:val="16"/>
          <w:lang w:eastAsia="el-GR"/>
        </w:rPr>
        <w:t xml:space="preserve">in </w:t>
      </w:r>
      <w:r w:rsidR="002E3941" w:rsidRPr="009A3D49">
        <w:rPr>
          <w:rFonts w:ascii="Verdana" w:hAnsi="Verdana" w:cs="Arial"/>
          <w:sz w:val="16"/>
          <w:szCs w:val="16"/>
          <w:lang w:eastAsia="el-GR"/>
        </w:rPr>
        <w:t>TARGET2</w:t>
      </w:r>
      <w:r>
        <w:rPr>
          <w:rFonts w:ascii="Verdana" w:hAnsi="Verdana" w:cs="Arial"/>
          <w:sz w:val="16"/>
          <w:szCs w:val="16"/>
          <w:lang w:eastAsia="el-GR"/>
        </w:rPr>
        <w:t xml:space="preserve">, according to the relevant </w:t>
      </w:r>
      <w:r w:rsidR="00207D16">
        <w:rPr>
          <w:rFonts w:ascii="Verdana" w:hAnsi="Verdana" w:cs="Arial"/>
          <w:sz w:val="16"/>
          <w:szCs w:val="16"/>
          <w:lang w:eastAsia="el-GR"/>
        </w:rPr>
        <w:t xml:space="preserve">orders of the Operator, submitting payment orders or receiving payments through </w:t>
      </w:r>
      <w:r w:rsidR="002E3941" w:rsidRPr="009A3D49">
        <w:rPr>
          <w:rFonts w:ascii="Verdana" w:hAnsi="Verdana" w:cs="Arial"/>
          <w:sz w:val="16"/>
          <w:szCs w:val="16"/>
          <w:lang w:eastAsia="el-GR"/>
        </w:rPr>
        <w:t xml:space="preserve">TARGET2, </w:t>
      </w:r>
      <w:r w:rsidR="00207D16">
        <w:rPr>
          <w:rFonts w:ascii="Verdana" w:hAnsi="Verdana" w:cs="Arial"/>
          <w:sz w:val="16"/>
          <w:szCs w:val="16"/>
          <w:lang w:eastAsia="el-GR"/>
        </w:rPr>
        <w:t xml:space="preserve">in fulfilment of the Operator’s obligations in relation to HELEX’s Ancillary System. The Settlement Bank explicitly acknowledges that HELEX shall have the right to move the Operator’s subaccounts, according to the </w:t>
      </w:r>
      <w:r w:rsidR="00236DB0">
        <w:rPr>
          <w:rFonts w:ascii="Verdana" w:hAnsi="Verdana" w:cs="Arial"/>
          <w:sz w:val="16"/>
          <w:szCs w:val="16"/>
          <w:lang w:eastAsia="el-GR"/>
        </w:rPr>
        <w:t>provision</w:t>
      </w:r>
      <w:r w:rsidR="00207D16">
        <w:rPr>
          <w:rFonts w:ascii="Verdana" w:hAnsi="Verdana" w:cs="Arial"/>
          <w:sz w:val="16"/>
          <w:szCs w:val="16"/>
          <w:lang w:eastAsia="el-GR"/>
        </w:rPr>
        <w:t xml:space="preserve">s </w:t>
      </w:r>
      <w:r w:rsidR="00935D60">
        <w:rPr>
          <w:rFonts w:ascii="Verdana" w:hAnsi="Verdana" w:cs="Arial"/>
          <w:sz w:val="16"/>
          <w:szCs w:val="16"/>
          <w:lang w:eastAsia="el-GR"/>
        </w:rPr>
        <w:t>of</w:t>
      </w:r>
      <w:r w:rsidR="00207D16">
        <w:rPr>
          <w:rFonts w:ascii="Verdana" w:hAnsi="Verdana" w:cs="Arial"/>
          <w:sz w:val="16"/>
          <w:szCs w:val="16"/>
          <w:lang w:eastAsia="el-GR"/>
        </w:rPr>
        <w:t xml:space="preserve"> </w:t>
      </w:r>
      <w:r w:rsidR="002E3941" w:rsidRPr="009A3D49">
        <w:rPr>
          <w:rFonts w:ascii="Verdana" w:hAnsi="Verdana" w:cs="Arial"/>
          <w:sz w:val="16"/>
          <w:szCs w:val="16"/>
          <w:lang w:eastAsia="el-GR"/>
        </w:rPr>
        <w:t>TARGET2</w:t>
      </w:r>
      <w:r w:rsidR="00422873">
        <w:rPr>
          <w:rFonts w:ascii="Verdana" w:hAnsi="Verdana" w:cs="Arial"/>
          <w:sz w:val="16"/>
          <w:szCs w:val="16"/>
          <w:lang w:eastAsia="el-GR"/>
        </w:rPr>
        <w:t xml:space="preserve"> Guidelines</w:t>
      </w:r>
      <w:r w:rsidR="002E3941" w:rsidRPr="009A3D49">
        <w:rPr>
          <w:rFonts w:ascii="Verdana" w:hAnsi="Verdana" w:cs="Arial"/>
          <w:sz w:val="16"/>
          <w:szCs w:val="16"/>
          <w:lang w:eastAsia="el-GR"/>
        </w:rPr>
        <w:t xml:space="preserve">. </w:t>
      </w:r>
    </w:p>
    <w:p w:rsidR="002E3941" w:rsidRPr="009A3D49" w:rsidRDefault="00935D60"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Not proceed to the use/charge of the balance of the Operator’s subaccount for any reason other than (by way of indication offsetting or garnishment) the one concerning the fulfilment of the Operator’s obligations within the framework of the cash settlement.</w:t>
      </w:r>
    </w:p>
    <w:p w:rsidR="002E3941" w:rsidRPr="009A3D49" w:rsidRDefault="00513AF8"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In case of remaining balance in the Operator’s subaccount after conclusion of the settlement Procedure, it shall proceed to all necessary actions for the transfer of said balance to the Operator’s commercial cash account from the above subaccount or through its PM account, according to the </w:t>
      </w:r>
      <w:r w:rsidR="00236DB0">
        <w:rPr>
          <w:rFonts w:ascii="Verdana" w:hAnsi="Verdana" w:cs="Arial"/>
          <w:sz w:val="16"/>
          <w:szCs w:val="16"/>
          <w:lang w:eastAsia="el-GR"/>
        </w:rPr>
        <w:t>provision</w:t>
      </w:r>
      <w:r>
        <w:rPr>
          <w:rFonts w:ascii="Verdana" w:hAnsi="Verdana" w:cs="Arial"/>
          <w:sz w:val="16"/>
          <w:szCs w:val="16"/>
          <w:lang w:eastAsia="el-GR"/>
        </w:rPr>
        <w:t xml:space="preserve">s of the </w:t>
      </w:r>
      <w:r w:rsidR="002E3941" w:rsidRPr="009A3D49">
        <w:rPr>
          <w:rFonts w:ascii="Verdana" w:hAnsi="Verdana" w:cs="Arial"/>
          <w:sz w:val="16"/>
          <w:szCs w:val="16"/>
          <w:lang w:eastAsia="el-GR"/>
        </w:rPr>
        <w:t>TARGET2-</w:t>
      </w:r>
      <w:r w:rsidR="00422873">
        <w:rPr>
          <w:rFonts w:ascii="Verdana" w:hAnsi="Verdana" w:cs="Arial"/>
          <w:sz w:val="16"/>
          <w:szCs w:val="16"/>
          <w:lang w:eastAsia="el-GR"/>
        </w:rPr>
        <w:t xml:space="preserve"> Guidelines</w:t>
      </w:r>
      <w:r w:rsidR="002E3941" w:rsidRPr="009A3D49">
        <w:rPr>
          <w:rFonts w:ascii="Verdana" w:hAnsi="Verdana" w:cs="Arial"/>
          <w:sz w:val="16"/>
          <w:szCs w:val="16"/>
          <w:lang w:eastAsia="el-GR"/>
        </w:rPr>
        <w:t xml:space="preserve">.  </w:t>
      </w:r>
    </w:p>
    <w:p w:rsidR="002E3941" w:rsidRPr="009A3D49" w:rsidRDefault="00241500"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Promptly notify the Operators in case of failure or malfunction or technical problems, in general, or other emergencies that obstruct the operation of their relevant subaccounts and affect, in general, the smooth operation of the cash settlement</w:t>
      </w:r>
      <w:r w:rsidR="002E3941" w:rsidRPr="009A3D49">
        <w:rPr>
          <w:rFonts w:ascii="Verdana" w:hAnsi="Verdana" w:cs="Arial"/>
          <w:sz w:val="16"/>
          <w:szCs w:val="16"/>
          <w:lang w:eastAsia="el-GR"/>
        </w:rPr>
        <w:t xml:space="preserve">.  </w:t>
      </w:r>
    </w:p>
    <w:p w:rsidR="002E3941" w:rsidRPr="009A3D49" w:rsidRDefault="00241500"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Promptly inform HELEX</w:t>
      </w:r>
      <w:r w:rsidR="002E3941" w:rsidRPr="009A3D49">
        <w:rPr>
          <w:rFonts w:ascii="Verdana" w:hAnsi="Verdana" w:cs="Arial"/>
          <w:sz w:val="16"/>
          <w:szCs w:val="16"/>
          <w:lang w:eastAsia="el-GR"/>
        </w:rPr>
        <w:t xml:space="preserve"> </w:t>
      </w:r>
      <w:r>
        <w:rPr>
          <w:rFonts w:ascii="Verdana" w:hAnsi="Verdana" w:cs="Arial"/>
          <w:sz w:val="16"/>
          <w:szCs w:val="16"/>
          <w:lang w:eastAsia="el-GR"/>
        </w:rPr>
        <w:t>in case of failure or malfunction or technical problems, in general, or other emergencies that obstruct the operation of the subaccounts of an individual Operator or all Operators to whom it renders the services.</w:t>
      </w:r>
      <w:r w:rsidR="002E3941" w:rsidRPr="009A3D49">
        <w:rPr>
          <w:rFonts w:ascii="Verdana" w:hAnsi="Verdana" w:cs="Arial"/>
          <w:sz w:val="16"/>
          <w:szCs w:val="16"/>
          <w:lang w:eastAsia="el-GR"/>
        </w:rPr>
        <w:t xml:space="preserve"> </w:t>
      </w:r>
    </w:p>
    <w:p w:rsidR="002E3941" w:rsidRPr="009A3D49" w:rsidRDefault="00C15C49"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t>Have: a</w:t>
      </w:r>
      <w:r w:rsidR="002E3941" w:rsidRPr="009A3D49">
        <w:rPr>
          <w:rFonts w:ascii="Verdana" w:hAnsi="Verdana" w:cs="Arial"/>
          <w:sz w:val="16"/>
          <w:szCs w:val="16"/>
          <w:lang w:eastAsia="el-GR"/>
        </w:rPr>
        <w:t xml:space="preserve">) </w:t>
      </w:r>
      <w:r>
        <w:rPr>
          <w:rFonts w:ascii="Verdana" w:hAnsi="Verdana" w:cs="Arial"/>
          <w:sz w:val="16"/>
          <w:szCs w:val="16"/>
          <w:lang w:eastAsia="el-GR"/>
        </w:rPr>
        <w:t>specialised personnel for realising all works relating to the carrying out and supervision of the cash settlement, b</w:t>
      </w:r>
      <w:r w:rsidR="002E3941" w:rsidRPr="009A3D49">
        <w:rPr>
          <w:rFonts w:ascii="Verdana" w:hAnsi="Verdana" w:cs="Arial"/>
          <w:sz w:val="16"/>
          <w:szCs w:val="16"/>
          <w:lang w:eastAsia="el-GR"/>
        </w:rPr>
        <w:t xml:space="preserve">) </w:t>
      </w:r>
      <w:r>
        <w:rPr>
          <w:rFonts w:ascii="Verdana" w:hAnsi="Verdana" w:cs="Arial"/>
          <w:sz w:val="16"/>
          <w:szCs w:val="16"/>
          <w:lang w:eastAsia="el-GR"/>
        </w:rPr>
        <w:t>backup personnel, according to the provisions of the applicable legislation, for adequately covering its needs relating to the cash settlement, especially in the case of strikes of its personnel</w:t>
      </w:r>
      <w:r w:rsidR="00C706CB">
        <w:rPr>
          <w:rFonts w:ascii="Verdana" w:hAnsi="Verdana" w:cs="Arial"/>
          <w:sz w:val="16"/>
          <w:szCs w:val="16"/>
          <w:lang w:eastAsia="el-GR"/>
        </w:rPr>
        <w:t>, c</w:t>
      </w:r>
      <w:r w:rsidR="002E3941" w:rsidRPr="009A3D49">
        <w:rPr>
          <w:rFonts w:ascii="Verdana" w:hAnsi="Verdana" w:cs="Arial"/>
          <w:sz w:val="16"/>
          <w:szCs w:val="16"/>
          <w:lang w:eastAsia="el-GR"/>
        </w:rPr>
        <w:t xml:space="preserve">) </w:t>
      </w:r>
      <w:r>
        <w:rPr>
          <w:rFonts w:ascii="Verdana" w:hAnsi="Verdana" w:cs="Arial"/>
          <w:sz w:val="16"/>
          <w:szCs w:val="16"/>
          <w:lang w:eastAsia="el-GR"/>
        </w:rPr>
        <w:t>back up systems for entering and storing all data relating to the operation of the Settlement Bank</w:t>
      </w:r>
      <w:r w:rsidR="002E3941" w:rsidRPr="009A3D49">
        <w:rPr>
          <w:rFonts w:ascii="Verdana" w:hAnsi="Verdana" w:cs="Arial"/>
          <w:sz w:val="16"/>
          <w:szCs w:val="16"/>
          <w:lang w:eastAsia="el-GR"/>
        </w:rPr>
        <w:t xml:space="preserve">, </w:t>
      </w:r>
      <w:r>
        <w:rPr>
          <w:rFonts w:ascii="Verdana" w:hAnsi="Verdana" w:cs="Arial"/>
          <w:sz w:val="16"/>
          <w:szCs w:val="16"/>
          <w:lang w:eastAsia="el-GR"/>
        </w:rPr>
        <w:t>as well as a disaster centre for dealing with and managing emergencies, especially in case of malfunction of the machines that connect it to the Bank of Greece and, in general, to the participants in the cash settlement or other emergency, whose procedure shall be activated for safeguarding the adequate carr</w:t>
      </w:r>
      <w:r w:rsidR="00C706CB">
        <w:rPr>
          <w:rFonts w:ascii="Verdana" w:hAnsi="Verdana" w:cs="Arial"/>
          <w:sz w:val="16"/>
          <w:szCs w:val="16"/>
          <w:lang w:eastAsia="el-GR"/>
        </w:rPr>
        <w:t>ying out of the cash settlement in case of failure or malfunction or technical problems, in general, or other emergencies that obstruct the operation of their relevant subaccounts and affect, in general, the smooth operation of the cash settlement</w:t>
      </w:r>
      <w:r w:rsidR="002E3941" w:rsidRPr="009A3D49">
        <w:rPr>
          <w:rFonts w:ascii="Verdana" w:hAnsi="Verdana" w:cs="Arial"/>
          <w:sz w:val="16"/>
          <w:szCs w:val="16"/>
          <w:lang w:eastAsia="el-GR"/>
        </w:rPr>
        <w:t xml:space="preserve">. </w:t>
      </w:r>
    </w:p>
    <w:p w:rsidR="002E3941" w:rsidRPr="009A3D49" w:rsidRDefault="00C706CB" w:rsidP="00AE3A95">
      <w:pPr>
        <w:numPr>
          <w:ilvl w:val="1"/>
          <w:numId w:val="31"/>
        </w:numPr>
        <w:spacing w:before="120" w:after="120" w:line="240" w:lineRule="atLeast"/>
        <w:jc w:val="both"/>
        <w:rPr>
          <w:rFonts w:ascii="Verdana" w:hAnsi="Verdana" w:cs="Arial"/>
          <w:sz w:val="16"/>
          <w:szCs w:val="16"/>
          <w:lang w:eastAsia="el-GR"/>
        </w:rPr>
      </w:pPr>
      <w:r>
        <w:rPr>
          <w:rFonts w:ascii="Verdana" w:hAnsi="Verdana" w:cs="Arial"/>
          <w:sz w:val="16"/>
          <w:szCs w:val="16"/>
          <w:lang w:eastAsia="el-GR"/>
        </w:rPr>
        <w:lastRenderedPageBreak/>
        <w:t xml:space="preserve">Keep all data and information contained in its electronic system confidential, within the framework of its obligations as Settlement Bank, as well as any other data and information </w:t>
      </w:r>
      <w:r w:rsidR="00F347CB">
        <w:rPr>
          <w:rFonts w:ascii="Verdana" w:hAnsi="Verdana" w:cs="Arial"/>
          <w:sz w:val="16"/>
          <w:szCs w:val="16"/>
          <w:lang w:eastAsia="el-GR"/>
        </w:rPr>
        <w:t>that</w:t>
      </w:r>
      <w:r>
        <w:rPr>
          <w:rFonts w:ascii="Verdana" w:hAnsi="Verdana" w:cs="Arial"/>
          <w:sz w:val="16"/>
          <w:szCs w:val="16"/>
          <w:lang w:eastAsia="el-GR"/>
        </w:rPr>
        <w:t xml:space="preserve"> comes to its knowledge from the execution of acts relating, directly or indirectly, with the above obligations, throughout its operation as Settlement Bank and also after its conclusion, taking all ne</w:t>
      </w:r>
      <w:r w:rsidR="00F347CB">
        <w:rPr>
          <w:rFonts w:ascii="Verdana" w:hAnsi="Verdana" w:cs="Arial"/>
          <w:sz w:val="16"/>
          <w:szCs w:val="16"/>
          <w:lang w:eastAsia="el-GR"/>
        </w:rPr>
        <w:t>cessary measures for obstructing</w:t>
      </w:r>
      <w:r>
        <w:rPr>
          <w:rFonts w:ascii="Verdana" w:hAnsi="Verdana" w:cs="Arial"/>
          <w:sz w:val="16"/>
          <w:szCs w:val="16"/>
          <w:lang w:eastAsia="el-GR"/>
        </w:rPr>
        <w:t xml:space="preserve"> their </w:t>
      </w:r>
      <w:r w:rsidR="00F55B63">
        <w:rPr>
          <w:rFonts w:ascii="Verdana" w:hAnsi="Verdana" w:cs="Arial"/>
          <w:sz w:val="16"/>
          <w:szCs w:val="16"/>
          <w:lang w:eastAsia="el-GR"/>
        </w:rPr>
        <w:t>disclosure</w:t>
      </w:r>
      <w:r>
        <w:rPr>
          <w:rFonts w:ascii="Verdana" w:hAnsi="Verdana" w:cs="Arial"/>
          <w:sz w:val="16"/>
          <w:szCs w:val="16"/>
          <w:lang w:eastAsia="el-GR"/>
        </w:rPr>
        <w:t xml:space="preserve">, in whole or in part, to third unauthorised persons, organisations or departments, with the exception of the cases in which the confidentially has to be </w:t>
      </w:r>
      <w:r w:rsidR="003172CD">
        <w:rPr>
          <w:rFonts w:ascii="Verdana" w:hAnsi="Verdana" w:cs="Arial"/>
          <w:sz w:val="16"/>
          <w:szCs w:val="16"/>
          <w:lang w:eastAsia="el-GR"/>
        </w:rPr>
        <w:t>violated according to the law and, by way of indication, within the framework of providing information to the competent supervisory authorities or courts</w:t>
      </w:r>
      <w:r w:rsidR="00F347CB">
        <w:rPr>
          <w:rFonts w:ascii="Verdana" w:hAnsi="Verdana" w:cs="Arial"/>
          <w:sz w:val="16"/>
          <w:szCs w:val="16"/>
          <w:lang w:eastAsia="el-GR"/>
        </w:rPr>
        <w:t xml:space="preserve">. </w:t>
      </w:r>
      <w:r w:rsidR="00F55B63">
        <w:rPr>
          <w:rFonts w:ascii="Verdana" w:hAnsi="Verdana" w:cs="Arial"/>
          <w:sz w:val="16"/>
          <w:szCs w:val="16"/>
          <w:lang w:eastAsia="el-GR"/>
        </w:rPr>
        <w:t>To this end, it shall see</w:t>
      </w:r>
      <w:r w:rsidR="00F55B63" w:rsidRPr="00F55B63">
        <w:rPr>
          <w:rFonts w:ascii="Verdana" w:hAnsi="Verdana" w:cs="Arial"/>
          <w:sz w:val="16"/>
          <w:szCs w:val="16"/>
          <w:lang w:eastAsia="el-GR"/>
        </w:rPr>
        <w:t xml:space="preserve"> </w:t>
      </w:r>
      <w:r w:rsidR="00F55B63">
        <w:rPr>
          <w:rFonts w:ascii="Verdana" w:hAnsi="Verdana" w:cs="Arial"/>
          <w:sz w:val="16"/>
          <w:szCs w:val="16"/>
          <w:lang w:val="en-US" w:eastAsia="el-GR"/>
        </w:rPr>
        <w:t xml:space="preserve">that the persons it employs in its operation as Settlement Bank also observe the above </w:t>
      </w:r>
      <w:r w:rsidR="00236DB0">
        <w:rPr>
          <w:rFonts w:ascii="Verdana" w:hAnsi="Verdana" w:cs="Arial"/>
          <w:sz w:val="16"/>
          <w:szCs w:val="16"/>
          <w:lang w:val="en-US" w:eastAsia="el-GR"/>
        </w:rPr>
        <w:t>provision</w:t>
      </w:r>
      <w:r w:rsidR="00F55B63">
        <w:rPr>
          <w:rFonts w:ascii="Verdana" w:hAnsi="Verdana" w:cs="Arial"/>
          <w:sz w:val="16"/>
          <w:szCs w:val="16"/>
          <w:lang w:val="en-US" w:eastAsia="el-GR"/>
        </w:rPr>
        <w:t xml:space="preserve">s. </w:t>
      </w:r>
      <w:r w:rsidR="00F55B63">
        <w:rPr>
          <w:rFonts w:ascii="Verdana" w:hAnsi="Verdana" w:cs="Arial"/>
          <w:sz w:val="16"/>
          <w:szCs w:val="16"/>
          <w:lang w:eastAsia="el-GR"/>
        </w:rPr>
        <w:t>It goes without saying that the Settlement Bank may disclose the above data and information to the Operators and HELEX, within the framework of the exercise of its legal duties</w:t>
      </w:r>
      <w:r w:rsidR="002E3941" w:rsidRPr="009A3D49">
        <w:rPr>
          <w:rFonts w:ascii="Verdana" w:hAnsi="Verdana" w:cs="Arial"/>
          <w:sz w:val="16"/>
          <w:szCs w:val="16"/>
          <w:lang w:eastAsia="el-GR"/>
        </w:rPr>
        <w:t xml:space="preserve">. </w:t>
      </w:r>
    </w:p>
    <w:p w:rsidR="002E3941" w:rsidRPr="009A3D49" w:rsidRDefault="00F654AA" w:rsidP="00AE3A95">
      <w:pPr>
        <w:numPr>
          <w:ilvl w:val="1"/>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The Settlement Bank must proceed to the opening and keeping of the above subaccounts according to these Special Terms</w:t>
      </w:r>
      <w:r w:rsidR="002E3941" w:rsidRPr="009A3D49">
        <w:rPr>
          <w:rFonts w:ascii="Verdana" w:hAnsi="Verdana" w:cs="Arial"/>
          <w:sz w:val="16"/>
          <w:szCs w:val="16"/>
          <w:lang w:eastAsia="el-GR"/>
        </w:rPr>
        <w:t xml:space="preserve">. </w:t>
      </w:r>
      <w:r>
        <w:rPr>
          <w:rFonts w:ascii="Verdana" w:hAnsi="Verdana" w:cs="Arial"/>
          <w:sz w:val="16"/>
          <w:szCs w:val="16"/>
          <w:lang w:eastAsia="el-GR"/>
        </w:rPr>
        <w:t>The Bank shall be responsible for the timely and correct forwarding of the payment orders it receives from the Operators</w:t>
      </w:r>
      <w:r w:rsidR="00922CA5">
        <w:rPr>
          <w:rFonts w:ascii="Verdana" w:hAnsi="Verdana" w:cs="Arial"/>
          <w:sz w:val="16"/>
          <w:szCs w:val="16"/>
          <w:lang w:eastAsia="el-GR"/>
        </w:rPr>
        <w:t xml:space="preserve"> </w:t>
      </w:r>
      <w:r>
        <w:rPr>
          <w:rFonts w:ascii="Verdana" w:hAnsi="Verdana" w:cs="Arial"/>
          <w:sz w:val="16"/>
          <w:szCs w:val="16"/>
          <w:lang w:eastAsia="el-GR"/>
        </w:rPr>
        <w:t xml:space="preserve">to </w:t>
      </w:r>
      <w:r w:rsidR="002E3941" w:rsidRPr="009A3D49">
        <w:rPr>
          <w:rFonts w:ascii="Verdana" w:hAnsi="Verdana" w:cs="Arial"/>
          <w:sz w:val="16"/>
          <w:szCs w:val="16"/>
          <w:lang w:eastAsia="el-GR"/>
        </w:rPr>
        <w:t xml:space="preserve">TARGET2 </w:t>
      </w:r>
      <w:r w:rsidR="00922CA5">
        <w:rPr>
          <w:rFonts w:ascii="Verdana" w:hAnsi="Verdana" w:cs="Arial"/>
          <w:sz w:val="16"/>
          <w:szCs w:val="16"/>
          <w:lang w:eastAsia="el-GR"/>
        </w:rPr>
        <w:t xml:space="preserve">and the timely and correct payment to the Operators of the payments it receives on their behalf through </w:t>
      </w:r>
      <w:r w:rsidR="002E3941" w:rsidRPr="009A3D49">
        <w:rPr>
          <w:rFonts w:ascii="Verdana" w:hAnsi="Verdana" w:cs="Arial"/>
          <w:sz w:val="16"/>
          <w:szCs w:val="16"/>
          <w:lang w:eastAsia="el-GR"/>
        </w:rPr>
        <w:t xml:space="preserve">TARGET2. </w:t>
      </w:r>
      <w:r w:rsidR="000609B5">
        <w:rPr>
          <w:rFonts w:ascii="Verdana" w:hAnsi="Verdana" w:cs="Arial"/>
          <w:sz w:val="16"/>
          <w:szCs w:val="16"/>
          <w:lang w:eastAsia="el-GR"/>
        </w:rPr>
        <w:t>Moreover, it shall be responsible for the fullness, correctness and accuracy of the data, movements, and balances of the above subaccounts provided to the Operators, according to these Special Terms</w:t>
      </w:r>
      <w:r w:rsidR="002E3941" w:rsidRPr="009A3D49">
        <w:rPr>
          <w:rFonts w:ascii="Verdana" w:hAnsi="Verdana" w:cs="Arial"/>
          <w:sz w:val="16"/>
          <w:szCs w:val="16"/>
          <w:lang w:eastAsia="el-GR"/>
        </w:rPr>
        <w:t xml:space="preserve">. </w:t>
      </w:r>
    </w:p>
    <w:p w:rsidR="002E3941" w:rsidRPr="009A3D49" w:rsidRDefault="002E3941" w:rsidP="00AE3A95">
      <w:pPr>
        <w:numPr>
          <w:ilvl w:val="1"/>
          <w:numId w:val="30"/>
        </w:numPr>
        <w:tabs>
          <w:tab w:val="num" w:pos="0"/>
        </w:tabs>
        <w:spacing w:before="120" w:after="120" w:line="240" w:lineRule="atLeast"/>
        <w:ind w:left="0" w:firstLine="0"/>
        <w:jc w:val="both"/>
        <w:rPr>
          <w:rFonts w:ascii="Verdana" w:hAnsi="Verdana" w:cs="Arial"/>
          <w:sz w:val="16"/>
          <w:szCs w:val="16"/>
          <w:lang w:eastAsia="el-GR"/>
        </w:rPr>
      </w:pPr>
      <w:r w:rsidRPr="009A3D49">
        <w:rPr>
          <w:rFonts w:ascii="Verdana" w:hAnsi="Verdana" w:cs="Arial"/>
          <w:sz w:val="16"/>
          <w:szCs w:val="16"/>
          <w:lang w:eastAsia="el-GR"/>
        </w:rPr>
        <w:t xml:space="preserve"> </w:t>
      </w:r>
      <w:r w:rsidR="00410A89">
        <w:rPr>
          <w:rFonts w:ascii="Verdana" w:hAnsi="Verdana" w:cs="Arial"/>
          <w:sz w:val="16"/>
          <w:szCs w:val="16"/>
          <w:lang w:eastAsia="el-GR"/>
        </w:rPr>
        <w:t xml:space="preserve">The Settlement Bank may not close any subaccount kept in </w:t>
      </w:r>
      <w:r w:rsidRPr="009A3D49">
        <w:rPr>
          <w:rFonts w:ascii="Verdana" w:hAnsi="Verdana" w:cs="Arial"/>
          <w:sz w:val="16"/>
          <w:szCs w:val="16"/>
          <w:lang w:eastAsia="el-GR"/>
        </w:rPr>
        <w:t>TARGET2</w:t>
      </w:r>
      <w:r w:rsidR="00410A89">
        <w:rPr>
          <w:rFonts w:ascii="Verdana" w:hAnsi="Verdana" w:cs="Arial"/>
          <w:sz w:val="16"/>
          <w:szCs w:val="16"/>
          <w:lang w:eastAsia="el-GR"/>
        </w:rPr>
        <w:t xml:space="preserve"> for an Operator, unless a new subaccount is opened for the Operator by another Settlement Bank or by the Operator itself, in case it acts as Settlement Bank. </w:t>
      </w:r>
      <w:r w:rsidRPr="009A3D49">
        <w:rPr>
          <w:rFonts w:ascii="Verdana" w:hAnsi="Verdana" w:cs="Arial"/>
          <w:sz w:val="16"/>
          <w:szCs w:val="16"/>
          <w:lang w:eastAsia="el-GR"/>
        </w:rPr>
        <w:t xml:space="preserve"> </w:t>
      </w:r>
      <w:r w:rsidR="00805020">
        <w:rPr>
          <w:rFonts w:ascii="Verdana" w:hAnsi="Verdana" w:cs="Arial"/>
          <w:sz w:val="16"/>
          <w:szCs w:val="16"/>
          <w:lang w:eastAsia="el-GR"/>
        </w:rPr>
        <w:t>No subaccount may be closed immediately, unless the capacity of Operator has been lost, following relevant notification of the Settlement Bank by HELEX. In any event, in order for a subaccount to be closed, the Settlement Bank must duly fill out the standard form “</w:t>
      </w:r>
      <w:r w:rsidRPr="009A3D49">
        <w:rPr>
          <w:rFonts w:ascii="Verdana" w:hAnsi="Verdana" w:cs="Arial"/>
          <w:sz w:val="16"/>
          <w:szCs w:val="16"/>
          <w:lang w:eastAsia="el-GR"/>
        </w:rPr>
        <w:t>TARGET2 form collection of Static Data - Sub Account</w:t>
      </w:r>
      <w:r w:rsidR="00805020">
        <w:rPr>
          <w:rFonts w:ascii="Verdana" w:hAnsi="Verdana" w:cs="Arial"/>
          <w:sz w:val="16"/>
          <w:szCs w:val="16"/>
          <w:lang w:eastAsia="el-GR"/>
        </w:rPr>
        <w:t xml:space="preserve"> for dedicated liquidity –“</w:t>
      </w:r>
      <w:r w:rsidRPr="009A3D49">
        <w:rPr>
          <w:rFonts w:ascii="Verdana" w:hAnsi="Verdana" w:cs="Arial"/>
          <w:sz w:val="16"/>
          <w:szCs w:val="16"/>
          <w:lang w:eastAsia="el-GR"/>
        </w:rPr>
        <w:t xml:space="preserve"> (</w:t>
      </w:r>
      <w:r w:rsidR="00805020">
        <w:rPr>
          <w:rFonts w:ascii="Verdana" w:hAnsi="Verdana" w:cs="Arial"/>
          <w:sz w:val="16"/>
          <w:szCs w:val="16"/>
          <w:lang w:eastAsia="el-GR"/>
        </w:rPr>
        <w:t>Form</w:t>
      </w:r>
      <w:r w:rsidRPr="009A3D49">
        <w:rPr>
          <w:rFonts w:ascii="Verdana" w:hAnsi="Verdana" w:cs="Arial"/>
          <w:sz w:val="16"/>
          <w:szCs w:val="16"/>
          <w:lang w:eastAsia="el-GR"/>
        </w:rPr>
        <w:t xml:space="preserve"> 1014) </w:t>
      </w:r>
      <w:r w:rsidR="00805020">
        <w:rPr>
          <w:rFonts w:ascii="Verdana" w:hAnsi="Verdana" w:cs="Arial"/>
          <w:sz w:val="16"/>
          <w:szCs w:val="16"/>
          <w:lang w:eastAsia="el-GR"/>
        </w:rPr>
        <w:t xml:space="preserve">and submit it to </w:t>
      </w:r>
      <w:r w:rsidR="00422873">
        <w:rPr>
          <w:rFonts w:ascii="Verdana" w:hAnsi="Verdana" w:cs="Arial"/>
          <w:sz w:val="16"/>
          <w:szCs w:val="16"/>
          <w:lang w:eastAsia="el-GR"/>
        </w:rPr>
        <w:t>its Central Bank</w:t>
      </w:r>
      <w:r w:rsidR="00805020">
        <w:rPr>
          <w:rFonts w:ascii="Verdana" w:hAnsi="Verdana" w:cs="Arial"/>
          <w:sz w:val="16"/>
          <w:szCs w:val="16"/>
          <w:lang w:eastAsia="el-GR"/>
        </w:rPr>
        <w:t xml:space="preserve"> itself, communicating a copy to HELEX or through HELEX, according to HELEX’s procedures</w:t>
      </w:r>
      <w:r w:rsidRPr="009A3D49">
        <w:rPr>
          <w:rFonts w:ascii="Verdana" w:hAnsi="Verdana" w:cs="Arial"/>
          <w:sz w:val="16"/>
          <w:szCs w:val="16"/>
          <w:lang w:eastAsia="el-GR"/>
        </w:rPr>
        <w:t xml:space="preserve">. </w:t>
      </w:r>
    </w:p>
    <w:p w:rsidR="002E3941" w:rsidRPr="009A3D49" w:rsidRDefault="00A42705" w:rsidP="00AE3A95">
      <w:pPr>
        <w:numPr>
          <w:ilvl w:val="1"/>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 xml:space="preserve">The Settlement Bank may not transfer any rights or obligations towards the Operator arising out of its capacity as Settlement Bank to third parties, according to the </w:t>
      </w:r>
      <w:r w:rsidR="002E3941" w:rsidRPr="009A3D49">
        <w:rPr>
          <w:rFonts w:ascii="Verdana" w:hAnsi="Verdana" w:cs="Arial"/>
          <w:sz w:val="16"/>
          <w:szCs w:val="16"/>
          <w:lang w:eastAsia="el-GR"/>
        </w:rPr>
        <w:t>TARGET2</w:t>
      </w:r>
      <w:r w:rsidR="00422873">
        <w:rPr>
          <w:rFonts w:ascii="Verdana" w:hAnsi="Verdana" w:cs="Arial"/>
          <w:sz w:val="16"/>
          <w:szCs w:val="16"/>
          <w:lang w:eastAsia="el-GR"/>
        </w:rPr>
        <w:t xml:space="preserve"> Guidelines</w:t>
      </w:r>
      <w:r>
        <w:rPr>
          <w:rFonts w:ascii="Verdana" w:hAnsi="Verdana" w:cs="Arial"/>
          <w:sz w:val="16"/>
          <w:szCs w:val="16"/>
          <w:lang w:eastAsia="el-GR"/>
        </w:rPr>
        <w:t xml:space="preserve"> and these Special Terms</w:t>
      </w:r>
      <w:r w:rsidR="002E3941" w:rsidRPr="009A3D49">
        <w:rPr>
          <w:rFonts w:ascii="Verdana" w:hAnsi="Verdana" w:cs="Arial"/>
          <w:sz w:val="16"/>
          <w:szCs w:val="16"/>
          <w:lang w:eastAsia="el-GR"/>
        </w:rPr>
        <w:t xml:space="preserve">. </w:t>
      </w:r>
      <w:r>
        <w:rPr>
          <w:rFonts w:ascii="Verdana" w:hAnsi="Verdana" w:cs="Arial"/>
          <w:sz w:val="16"/>
          <w:szCs w:val="16"/>
          <w:lang w:eastAsia="el-GR"/>
        </w:rPr>
        <w:t xml:space="preserve">This prohibition does not include its, for any reason, </w:t>
      </w:r>
      <w:r w:rsidR="00865871">
        <w:rPr>
          <w:rFonts w:ascii="Verdana" w:hAnsi="Verdana" w:cs="Arial"/>
          <w:sz w:val="16"/>
          <w:szCs w:val="16"/>
          <w:lang w:eastAsia="el-GR"/>
        </w:rPr>
        <w:t xml:space="preserve">take over as a result of corporate restructuring (e.g. merger, or buyout by another bank). </w:t>
      </w:r>
    </w:p>
    <w:p w:rsidR="002E3941" w:rsidRPr="009A3D49" w:rsidRDefault="00E77541" w:rsidP="00AE3A95">
      <w:pPr>
        <w:numPr>
          <w:ilvl w:val="1"/>
          <w:numId w:val="30"/>
        </w:numPr>
        <w:tabs>
          <w:tab w:val="num" w:pos="0"/>
        </w:tabs>
        <w:spacing w:before="120" w:after="120" w:line="240" w:lineRule="atLeast"/>
        <w:ind w:left="0" w:firstLine="0"/>
        <w:jc w:val="both"/>
        <w:rPr>
          <w:rFonts w:ascii="Verdana" w:hAnsi="Verdana" w:cs="Arial"/>
          <w:sz w:val="16"/>
          <w:szCs w:val="16"/>
          <w:lang w:eastAsia="el-GR"/>
        </w:rPr>
      </w:pPr>
      <w:r>
        <w:rPr>
          <w:rFonts w:ascii="Verdana" w:hAnsi="Verdana" w:cs="Arial"/>
          <w:sz w:val="16"/>
          <w:szCs w:val="16"/>
          <w:lang w:eastAsia="el-GR"/>
        </w:rPr>
        <w:t xml:space="preserve">The Settlement Bank’s resignation from the provision of the relevant services in HELEX’s Ancillary System may be permitted in case it is communicated in writing to HELEX and shall constitute termination of all agreements concluded by the Settlement Bank, in this capacity, with HELEX. The results of the resignation (and termination) shall come upon after the lapse of thirty </w:t>
      </w:r>
      <w:r w:rsidR="002E3941" w:rsidRPr="009A3D49">
        <w:rPr>
          <w:rFonts w:ascii="Verdana" w:hAnsi="Verdana" w:cs="Arial"/>
          <w:sz w:val="16"/>
          <w:szCs w:val="16"/>
          <w:lang w:eastAsia="el-GR"/>
        </w:rPr>
        <w:t xml:space="preserve">(30) </w:t>
      </w:r>
      <w:r>
        <w:rPr>
          <w:rFonts w:ascii="Verdana" w:hAnsi="Verdana" w:cs="Arial"/>
          <w:sz w:val="16"/>
          <w:szCs w:val="16"/>
          <w:lang w:eastAsia="el-GR"/>
        </w:rPr>
        <w:t>days upon the above communication without prejudice to the following</w:t>
      </w:r>
      <w:r w:rsidR="002E3941" w:rsidRPr="009A3D49">
        <w:rPr>
          <w:rFonts w:ascii="Verdana" w:hAnsi="Verdana" w:cs="Arial"/>
          <w:sz w:val="16"/>
          <w:szCs w:val="16"/>
          <w:lang w:eastAsia="el-GR"/>
        </w:rPr>
        <w:t xml:space="preserve">: </w:t>
      </w:r>
    </w:p>
    <w:p w:rsidR="002E3941" w:rsidRPr="009A3D49" w:rsidRDefault="007F53F7" w:rsidP="00AE3A95">
      <w:pPr>
        <w:numPr>
          <w:ilvl w:val="1"/>
          <w:numId w:val="32"/>
        </w:numPr>
        <w:tabs>
          <w:tab w:val="num" w:pos="1260"/>
        </w:tabs>
        <w:spacing w:before="120" w:after="120" w:line="240" w:lineRule="atLeast"/>
        <w:jc w:val="both"/>
        <w:rPr>
          <w:rFonts w:ascii="Verdana" w:hAnsi="Verdana" w:cs="Arial"/>
          <w:b/>
          <w:sz w:val="16"/>
          <w:szCs w:val="16"/>
          <w:lang w:eastAsia="el-GR"/>
        </w:rPr>
      </w:pPr>
      <w:r>
        <w:rPr>
          <w:rFonts w:ascii="Verdana" w:hAnsi="Verdana" w:cs="Arial"/>
          <w:sz w:val="16"/>
          <w:szCs w:val="16"/>
          <w:lang w:eastAsia="el-GR"/>
        </w:rPr>
        <w:t xml:space="preserve">The resignation shall be valid in case the Settlement Bank has settled, within the above set deadline, all pending issues or debts to HELEX, and the Operators to whom it renders the services have seen to have subaccounts in other Settlement Banks, according to the </w:t>
      </w:r>
      <w:r w:rsidR="00236DB0">
        <w:rPr>
          <w:rFonts w:ascii="Verdana" w:hAnsi="Verdana" w:cs="Arial"/>
          <w:sz w:val="16"/>
          <w:szCs w:val="16"/>
          <w:lang w:eastAsia="el-GR"/>
        </w:rPr>
        <w:t>provision</w:t>
      </w:r>
      <w:r>
        <w:rPr>
          <w:rFonts w:ascii="Verdana" w:hAnsi="Verdana" w:cs="Arial"/>
          <w:sz w:val="16"/>
          <w:szCs w:val="16"/>
          <w:lang w:eastAsia="el-GR"/>
        </w:rPr>
        <w:t xml:space="preserve">s of the </w:t>
      </w:r>
      <w:r w:rsidR="002E3941" w:rsidRPr="009A3D49">
        <w:rPr>
          <w:rFonts w:ascii="Verdana" w:hAnsi="Verdana" w:cs="Arial"/>
          <w:sz w:val="16"/>
          <w:szCs w:val="16"/>
          <w:lang w:eastAsia="el-GR"/>
        </w:rPr>
        <w:t xml:space="preserve">TARGET2-GR </w:t>
      </w:r>
      <w:r>
        <w:rPr>
          <w:rFonts w:ascii="Verdana" w:hAnsi="Verdana" w:cs="Arial"/>
          <w:sz w:val="16"/>
          <w:szCs w:val="16"/>
          <w:lang w:eastAsia="el-GR"/>
        </w:rPr>
        <w:t>Operating Regulation and HELEX’s procedures</w:t>
      </w:r>
      <w:r w:rsidR="002E3941" w:rsidRPr="009A3D49">
        <w:rPr>
          <w:rFonts w:ascii="Verdana" w:hAnsi="Verdana" w:cs="Arial"/>
          <w:sz w:val="16"/>
          <w:szCs w:val="16"/>
          <w:lang w:eastAsia="el-GR"/>
        </w:rPr>
        <w:t>. Η</w:t>
      </w:r>
      <w:r w:rsidR="000D1DAF">
        <w:rPr>
          <w:rFonts w:ascii="Verdana" w:hAnsi="Verdana" w:cs="Arial"/>
          <w:sz w:val="16"/>
          <w:szCs w:val="16"/>
          <w:lang w:eastAsia="el-GR"/>
        </w:rPr>
        <w:t>ELEX may order a later deadline if this is so required for the fulfilment of the above obligations of the Settlement Bank under resignation or for the protection of the clearing or settlement systems connected with HELEX</w:t>
      </w:r>
      <w:r w:rsidR="002E3941" w:rsidRPr="009A3D49">
        <w:rPr>
          <w:rFonts w:ascii="Verdana" w:hAnsi="Verdana" w:cs="Arial"/>
          <w:sz w:val="16"/>
          <w:szCs w:val="16"/>
          <w:lang w:eastAsia="el-GR"/>
        </w:rPr>
        <w:t xml:space="preserve">. </w:t>
      </w:r>
      <w:r w:rsidR="000D1DAF">
        <w:rPr>
          <w:rFonts w:ascii="Verdana" w:hAnsi="Verdana" w:cs="Arial"/>
          <w:sz w:val="16"/>
          <w:szCs w:val="16"/>
          <w:lang w:eastAsia="el-GR"/>
        </w:rPr>
        <w:t>In case of a later deadline, the date of resignation and the results shall be respectively extended</w:t>
      </w:r>
      <w:r w:rsidR="002E3941" w:rsidRPr="009A3D49">
        <w:rPr>
          <w:rFonts w:ascii="Verdana" w:hAnsi="Verdana" w:cs="Arial"/>
          <w:sz w:val="16"/>
          <w:szCs w:val="16"/>
          <w:lang w:eastAsia="el-GR"/>
        </w:rPr>
        <w:t>.</w:t>
      </w:r>
    </w:p>
    <w:p w:rsidR="002E3941" w:rsidRPr="009A3D49" w:rsidRDefault="000D1DAF" w:rsidP="00AE3A95">
      <w:pPr>
        <w:numPr>
          <w:ilvl w:val="1"/>
          <w:numId w:val="32"/>
        </w:numPr>
        <w:tabs>
          <w:tab w:val="num" w:pos="1260"/>
        </w:tabs>
        <w:spacing w:before="120" w:after="120" w:line="240" w:lineRule="atLeast"/>
        <w:jc w:val="both"/>
        <w:rPr>
          <w:rFonts w:ascii="Verdana" w:hAnsi="Verdana" w:cs="Arial"/>
          <w:sz w:val="16"/>
          <w:szCs w:val="16"/>
          <w:lang w:eastAsia="el-GR"/>
        </w:rPr>
      </w:pPr>
      <w:r>
        <w:rPr>
          <w:rFonts w:ascii="Verdana" w:hAnsi="Verdana" w:cs="Arial"/>
          <w:sz w:val="16"/>
          <w:szCs w:val="16"/>
          <w:lang w:eastAsia="el-GR"/>
        </w:rPr>
        <w:t xml:space="preserve">Upon fulfilment </w:t>
      </w:r>
      <w:r w:rsidR="001F2455">
        <w:rPr>
          <w:rFonts w:ascii="Verdana" w:hAnsi="Verdana" w:cs="Arial"/>
          <w:sz w:val="16"/>
          <w:szCs w:val="16"/>
          <w:lang w:eastAsia="el-GR"/>
        </w:rPr>
        <w:t xml:space="preserve">of the conditions under </w:t>
      </w:r>
      <w:r w:rsidR="002E3941" w:rsidRPr="009A3D49">
        <w:rPr>
          <w:rFonts w:ascii="Verdana" w:hAnsi="Verdana" w:cs="Arial"/>
          <w:sz w:val="16"/>
          <w:szCs w:val="16"/>
          <w:lang w:eastAsia="el-GR"/>
        </w:rPr>
        <w:t xml:space="preserve">6.1, </w:t>
      </w:r>
      <w:r w:rsidR="001F2455">
        <w:rPr>
          <w:rFonts w:ascii="Verdana" w:hAnsi="Verdana" w:cs="Arial"/>
          <w:sz w:val="16"/>
          <w:szCs w:val="16"/>
          <w:lang w:eastAsia="el-GR"/>
        </w:rPr>
        <w:t>HELEX shall accept the resignation and inform the Settlement Bank accordingly. In case of non acceptance of the resignation, it shall give a justified reply.</w:t>
      </w:r>
    </w:p>
    <w:p w:rsidR="002E3941" w:rsidRPr="009A3D49" w:rsidRDefault="002E3941" w:rsidP="002E3941">
      <w:pPr>
        <w:spacing w:before="120" w:after="120" w:line="240" w:lineRule="atLeast"/>
        <w:jc w:val="both"/>
        <w:rPr>
          <w:rFonts w:ascii="Verdana" w:hAnsi="Verdana" w:cs="Arial"/>
          <w:sz w:val="16"/>
          <w:szCs w:val="16"/>
          <w:lang w:eastAsia="el-GR"/>
        </w:rPr>
      </w:pPr>
    </w:p>
    <w:p w:rsidR="002E3941" w:rsidRPr="009A3D49" w:rsidRDefault="000E36BF" w:rsidP="002E3941">
      <w:pPr>
        <w:spacing w:before="120" w:after="120" w:line="240" w:lineRule="atLeast"/>
        <w:jc w:val="both"/>
        <w:rPr>
          <w:rFonts w:ascii="Verdana" w:hAnsi="Verdana" w:cs="Arial"/>
          <w:b/>
          <w:sz w:val="16"/>
          <w:szCs w:val="16"/>
          <w:lang w:eastAsia="el-GR"/>
        </w:rPr>
      </w:pPr>
      <w:r>
        <w:rPr>
          <w:rFonts w:ascii="Verdana" w:hAnsi="Verdana" w:cs="Arial"/>
          <w:b/>
          <w:sz w:val="16"/>
          <w:szCs w:val="16"/>
          <w:lang w:eastAsia="el-GR"/>
        </w:rPr>
        <w:t>For the Settlement Bank</w:t>
      </w:r>
    </w:p>
    <w:p w:rsidR="002E3941" w:rsidRPr="009A3D49" w:rsidRDefault="002E3941" w:rsidP="002E3941">
      <w:pPr>
        <w:spacing w:before="120" w:after="120" w:line="240" w:lineRule="atLeast"/>
        <w:jc w:val="both"/>
        <w:rPr>
          <w:rFonts w:ascii="Verdana" w:hAnsi="Verdana" w:cs="Arial"/>
          <w:sz w:val="16"/>
          <w:szCs w:val="16"/>
          <w:lang w:eastAsia="el-GR"/>
        </w:rPr>
      </w:pPr>
    </w:p>
    <w:p w:rsidR="002E3941" w:rsidRPr="009A3D49" w:rsidRDefault="002E3941" w:rsidP="002E3941">
      <w:pPr>
        <w:spacing w:before="120" w:after="120" w:line="240" w:lineRule="atLeast"/>
        <w:jc w:val="both"/>
        <w:rPr>
          <w:rFonts w:ascii="Verdana" w:hAnsi="Verdana" w:cs="Arial"/>
          <w:sz w:val="16"/>
          <w:szCs w:val="16"/>
          <w:lang w:eastAsia="el-GR"/>
        </w:rPr>
      </w:pPr>
    </w:p>
    <w:bookmarkStart w:id="8" w:name="Text7"/>
    <w:p w:rsidR="002E3941" w:rsidRPr="009A3D49" w:rsidRDefault="002E7925" w:rsidP="002E3941">
      <w:pPr>
        <w:spacing w:before="120" w:after="120" w:line="240" w:lineRule="atLeast"/>
        <w:jc w:val="both"/>
        <w:rPr>
          <w:rFonts w:ascii="Verdana" w:hAnsi="Verdana" w:cs="Arial"/>
          <w:sz w:val="16"/>
          <w:szCs w:val="16"/>
          <w:lang w:eastAsia="el-GR"/>
        </w:rPr>
      </w:pPr>
      <w:r>
        <w:rPr>
          <w:rFonts w:ascii="Verdana" w:hAnsi="Verdana" w:cs="Arial"/>
          <w:sz w:val="16"/>
          <w:szCs w:val="16"/>
          <w:lang w:eastAsia="el-GR"/>
        </w:rPr>
        <w:fldChar w:fldCharType="begin">
          <w:ffData>
            <w:name w:val="Text7"/>
            <w:enabled/>
            <w:calcOnExit w:val="0"/>
            <w:textInput>
              <w:default w:val="…………………………………………………………………………"/>
            </w:textInput>
          </w:ffData>
        </w:fldChar>
      </w:r>
      <w:r>
        <w:rPr>
          <w:rFonts w:ascii="Verdana" w:hAnsi="Verdana" w:cs="Arial"/>
          <w:sz w:val="16"/>
          <w:szCs w:val="16"/>
          <w:lang w:eastAsia="el-GR"/>
        </w:rPr>
        <w:instrText xml:space="preserve"> FORMTEXT </w:instrText>
      </w:r>
      <w:r w:rsidR="00E93F4B" w:rsidRPr="002E7925">
        <w:rPr>
          <w:rFonts w:ascii="Verdana" w:hAnsi="Verdana" w:cs="Arial"/>
          <w:sz w:val="16"/>
          <w:szCs w:val="16"/>
          <w:lang w:eastAsia="el-GR"/>
        </w:rPr>
      </w:r>
      <w:r>
        <w:rPr>
          <w:rFonts w:ascii="Verdana" w:hAnsi="Verdana" w:cs="Arial"/>
          <w:sz w:val="16"/>
          <w:szCs w:val="16"/>
          <w:lang w:eastAsia="el-GR"/>
        </w:rPr>
        <w:fldChar w:fldCharType="separate"/>
      </w:r>
      <w:r>
        <w:rPr>
          <w:rFonts w:ascii="Verdana" w:hAnsi="Verdana" w:cs="Arial"/>
          <w:noProof/>
          <w:sz w:val="16"/>
          <w:szCs w:val="16"/>
          <w:lang w:eastAsia="el-GR"/>
        </w:rPr>
        <w:t>…………………………………………………………………………</w:t>
      </w:r>
      <w:r>
        <w:rPr>
          <w:rFonts w:ascii="Verdana" w:hAnsi="Verdana" w:cs="Arial"/>
          <w:sz w:val="16"/>
          <w:szCs w:val="16"/>
          <w:lang w:eastAsia="el-GR"/>
        </w:rPr>
        <w:fldChar w:fldCharType="end"/>
      </w:r>
      <w:bookmarkEnd w:id="8"/>
    </w:p>
    <w:p w:rsidR="002E3941" w:rsidRPr="009A3D49" w:rsidRDefault="002E3941" w:rsidP="002E3941">
      <w:pPr>
        <w:jc w:val="both"/>
        <w:rPr>
          <w:rFonts w:ascii="Verdana" w:hAnsi="Verdana" w:cs="Arial"/>
          <w:i/>
          <w:sz w:val="12"/>
          <w:szCs w:val="12"/>
          <w:lang w:eastAsia="el-GR"/>
        </w:rPr>
      </w:pPr>
      <w:r w:rsidRPr="009A3D49">
        <w:rPr>
          <w:rFonts w:ascii="Verdana" w:hAnsi="Verdana" w:cs="Arial"/>
          <w:i/>
          <w:sz w:val="12"/>
          <w:szCs w:val="12"/>
          <w:lang w:eastAsia="el-GR"/>
        </w:rPr>
        <w:t>(</w:t>
      </w:r>
      <w:r w:rsidR="000E36BF">
        <w:rPr>
          <w:rFonts w:ascii="Verdana" w:hAnsi="Verdana" w:cs="Arial"/>
          <w:i/>
          <w:sz w:val="12"/>
          <w:szCs w:val="12"/>
          <w:lang w:eastAsia="el-GR"/>
        </w:rPr>
        <w:t>to fill out the full name of the legal person</w:t>
      </w:r>
      <w:r w:rsidRPr="009A3D49">
        <w:rPr>
          <w:rFonts w:ascii="Verdana" w:hAnsi="Verdana" w:cs="Arial"/>
          <w:i/>
          <w:sz w:val="12"/>
          <w:szCs w:val="12"/>
          <w:lang w:eastAsia="el-GR"/>
        </w:rPr>
        <w:t xml:space="preserve"> </w:t>
      </w:r>
    </w:p>
    <w:p w:rsidR="006F073E" w:rsidRPr="00E1241D" w:rsidRDefault="000E36BF" w:rsidP="00E1241D">
      <w:pPr>
        <w:jc w:val="both"/>
        <w:rPr>
          <w:rFonts w:ascii="Verdana" w:hAnsi="Verdana" w:cs="Arial"/>
          <w:sz w:val="16"/>
          <w:szCs w:val="16"/>
          <w:lang w:eastAsia="el-GR"/>
        </w:rPr>
      </w:pPr>
      <w:r>
        <w:rPr>
          <w:rFonts w:ascii="Verdana" w:hAnsi="Verdana" w:cs="Arial"/>
          <w:i/>
          <w:sz w:val="12"/>
          <w:szCs w:val="12"/>
          <w:lang w:eastAsia="el-GR"/>
        </w:rPr>
        <w:t>and include the name &amp; signature of its legal representative</w:t>
      </w:r>
      <w:r w:rsidR="00E1241D">
        <w:rPr>
          <w:rFonts w:ascii="Verdana" w:hAnsi="Verdana" w:cs="Arial"/>
          <w:i/>
          <w:sz w:val="12"/>
          <w:szCs w:val="12"/>
          <w:lang w:eastAsia="el-GR"/>
        </w:rPr>
        <w:t>)</w:t>
      </w:r>
    </w:p>
    <w:sectPr w:rsidR="006F073E" w:rsidRPr="00E1241D" w:rsidSect="003B139F">
      <w:footerReference w:type="default" r:id="rId7"/>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CD" w:rsidRDefault="00A33CCD">
      <w:r>
        <w:separator/>
      </w:r>
    </w:p>
  </w:endnote>
  <w:endnote w:type="continuationSeparator" w:id="0">
    <w:p w:rsidR="00A33CCD" w:rsidRDefault="00A3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37" w:rsidRPr="00DA4224" w:rsidRDefault="00EC5437" w:rsidP="006F3316">
    <w:pPr>
      <w:pStyle w:val="Footer"/>
      <w:framePr w:wrap="around" w:vAnchor="text" w:hAnchor="margin" w:xAlign="center" w:y="1"/>
      <w:rPr>
        <w:rStyle w:val="PageNumber"/>
        <w:rFonts w:ascii="Verdana" w:hAnsi="Verdana"/>
        <w:sz w:val="18"/>
        <w:szCs w:val="18"/>
      </w:rPr>
    </w:pPr>
    <w:r w:rsidRPr="00DA4224">
      <w:rPr>
        <w:rStyle w:val="PageNumber"/>
        <w:rFonts w:ascii="Verdana" w:hAnsi="Verdana"/>
        <w:sz w:val="18"/>
        <w:szCs w:val="18"/>
      </w:rPr>
      <w:fldChar w:fldCharType="begin"/>
    </w:r>
    <w:r w:rsidRPr="00DA4224">
      <w:rPr>
        <w:rStyle w:val="PageNumber"/>
        <w:rFonts w:ascii="Verdana" w:hAnsi="Verdana"/>
        <w:sz w:val="18"/>
        <w:szCs w:val="18"/>
      </w:rPr>
      <w:instrText xml:space="preserve">PAGE  </w:instrText>
    </w:r>
    <w:r w:rsidRPr="00DA4224">
      <w:rPr>
        <w:rStyle w:val="PageNumber"/>
        <w:rFonts w:ascii="Verdana" w:hAnsi="Verdana"/>
        <w:sz w:val="18"/>
        <w:szCs w:val="18"/>
      </w:rPr>
      <w:fldChar w:fldCharType="separate"/>
    </w:r>
    <w:r w:rsidR="00FF0C9F">
      <w:rPr>
        <w:rStyle w:val="PageNumber"/>
        <w:rFonts w:ascii="Verdana" w:hAnsi="Verdana"/>
        <w:noProof/>
        <w:sz w:val="18"/>
        <w:szCs w:val="18"/>
      </w:rPr>
      <w:t>1</w:t>
    </w:r>
    <w:r w:rsidRPr="00DA4224">
      <w:rPr>
        <w:rStyle w:val="PageNumber"/>
        <w:rFonts w:ascii="Verdana" w:hAnsi="Verdana"/>
        <w:sz w:val="18"/>
        <w:szCs w:val="18"/>
      </w:rPr>
      <w:fldChar w:fldCharType="end"/>
    </w:r>
  </w:p>
  <w:p w:rsidR="00EC5437" w:rsidRDefault="00EC5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CD" w:rsidRDefault="00A33CCD">
      <w:r>
        <w:separator/>
      </w:r>
    </w:p>
  </w:footnote>
  <w:footnote w:type="continuationSeparator" w:id="0">
    <w:p w:rsidR="00A33CCD" w:rsidRDefault="00A33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05"/>
      </v:shape>
    </w:pict>
  </w:numPicBullet>
  <w:abstractNum w:abstractNumId="0">
    <w:nsid w:val="FFFFFF1D"/>
    <w:multiLevelType w:val="multilevel"/>
    <w:tmpl w:val="E8ACAE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43694FC"/>
    <w:lvl w:ilvl="0">
      <w:start w:val="1"/>
      <w:numFmt w:val="bullet"/>
      <w:pStyle w:val="Narticle-i"/>
      <w:lvlText w:val=""/>
      <w:lvlJc w:val="left"/>
      <w:pPr>
        <w:tabs>
          <w:tab w:val="num" w:pos="360"/>
        </w:tabs>
        <w:ind w:left="360" w:hanging="360"/>
      </w:pPr>
      <w:rPr>
        <w:rFonts w:ascii="Symbol" w:hAnsi="Symbol" w:hint="default"/>
      </w:rPr>
    </w:lvl>
  </w:abstractNum>
  <w:abstractNum w:abstractNumId="2">
    <w:nsid w:val="068C4CDF"/>
    <w:multiLevelType w:val="hybridMultilevel"/>
    <w:tmpl w:val="6C28CA12"/>
    <w:lvl w:ilvl="0" w:tplc="9EA48830">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006B93"/>
    <w:multiLevelType w:val="hybridMultilevel"/>
    <w:tmpl w:val="4D7E5BE0"/>
    <w:lvl w:ilvl="0" w:tplc="3EB4D904">
      <w:start w:val="1"/>
      <w:numFmt w:val="decimal"/>
      <w:lvlText w:val="%1."/>
      <w:lvlJc w:val="left"/>
      <w:pPr>
        <w:tabs>
          <w:tab w:val="num" w:pos="1080"/>
        </w:tabs>
        <w:ind w:left="1080" w:hanging="360"/>
      </w:pPr>
      <w:rPr>
        <w:b w:val="0"/>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
    <w:nsid w:val="11F4658F"/>
    <w:multiLevelType w:val="multilevel"/>
    <w:tmpl w:val="213C5562"/>
    <w:lvl w:ilvl="0">
      <w:start w:val="1"/>
      <w:numFmt w:val="upperRoman"/>
      <w:lvlText w:val="ENOTHTA %1."/>
      <w:lvlJc w:val="left"/>
      <w:pPr>
        <w:tabs>
          <w:tab w:val="num" w:pos="1644"/>
        </w:tabs>
        <w:ind w:left="1644" w:hanging="1644"/>
      </w:pPr>
      <w:rPr>
        <w:rFonts w:ascii="Arial" w:hAnsi="Arial" w:cs="Times New Roman" w:hint="default"/>
        <w:b/>
        <w:i w:val="0"/>
        <w:sz w:val="24"/>
        <w:szCs w:val="24"/>
      </w:rPr>
    </w:lvl>
    <w:lvl w:ilvl="1">
      <w:start w:val="1"/>
      <w:numFmt w:val="decimal"/>
      <w:lvlText w:val="ΜΕΡΟΣ %2."/>
      <w:lvlJc w:val="left"/>
      <w:pPr>
        <w:tabs>
          <w:tab w:val="num" w:pos="1247"/>
        </w:tabs>
        <w:ind w:left="1247" w:hanging="1247"/>
      </w:pPr>
      <w:rPr>
        <w:rFonts w:ascii="Arial" w:hAnsi="Arial" w:cs="Times New Roman" w:hint="default"/>
        <w:b/>
        <w:i w:val="0"/>
        <w:caps w:val="0"/>
        <w:strike w:val="0"/>
        <w:dstrike w:val="0"/>
        <w:vanish w:val="0"/>
        <w:color w:val="000000"/>
        <w:sz w:val="22"/>
        <w:vertAlign w:val="baseline"/>
      </w:rPr>
    </w:lvl>
    <w:lvl w:ilvl="2">
      <w:start w:val="1"/>
      <w:numFmt w:val="decimal"/>
      <w:lvlText w:val="%2.%3."/>
      <w:lvlJc w:val="left"/>
      <w:pPr>
        <w:tabs>
          <w:tab w:val="num" w:pos="680"/>
        </w:tabs>
        <w:ind w:left="680" w:hanging="680"/>
      </w:pPr>
      <w:rPr>
        <w:rFonts w:ascii="Arial" w:hAnsi="Arial" w:cs="Times New Roman" w:hint="default"/>
        <w:b/>
        <w:i w:val="0"/>
        <w:color w:val="auto"/>
        <w:sz w:val="22"/>
      </w:rPr>
    </w:lvl>
    <w:lvl w:ilvl="3">
      <w:start w:val="1"/>
      <w:numFmt w:val="decimal"/>
      <w:lvlText w:val="%2.%3.%4."/>
      <w:lvlJc w:val="left"/>
      <w:pPr>
        <w:tabs>
          <w:tab w:val="num" w:pos="454"/>
        </w:tabs>
        <w:ind w:left="454" w:hanging="454"/>
      </w:pPr>
      <w:rPr>
        <w:rFonts w:ascii="Arial" w:hAnsi="Arial" w:cs="Times New Roman" w:hint="default"/>
        <w:b/>
        <w:i/>
        <w:sz w:val="22"/>
      </w:rPr>
    </w:lvl>
    <w:lvl w:ilvl="4">
      <w:start w:val="1"/>
      <w:numFmt w:val="decimal"/>
      <w:lvlText w:val="%2.%3.%4.%5."/>
      <w:lvlJc w:val="left"/>
      <w:pPr>
        <w:tabs>
          <w:tab w:val="num" w:pos="902"/>
        </w:tabs>
        <w:ind w:left="902" w:hanging="902"/>
      </w:pPr>
      <w:rPr>
        <w:rFonts w:ascii="Arial" w:hAnsi="Arial" w:cs="Times New Roman" w:hint="default"/>
        <w:b/>
        <w:i/>
        <w:sz w:val="22"/>
        <w:u w:val="none"/>
      </w:rPr>
    </w:lvl>
    <w:lvl w:ilvl="5">
      <w:start w:val="1"/>
      <w:numFmt w:val="decimal"/>
      <w:lvlText w:val="%6."/>
      <w:lvlJc w:val="left"/>
      <w:pPr>
        <w:tabs>
          <w:tab w:val="num" w:pos="454"/>
        </w:tabs>
        <w:ind w:left="454" w:hanging="454"/>
      </w:pPr>
      <w:rPr>
        <w:rFonts w:cs="Times New Roman" w:hint="default"/>
        <w:b w:val="0"/>
      </w:rPr>
    </w:lvl>
    <w:lvl w:ilvl="6">
      <w:start w:val="1"/>
      <w:numFmt w:val="decimal"/>
      <w:lvlText w:val="%7)"/>
      <w:lvlJc w:val="left"/>
      <w:pPr>
        <w:ind w:left="1712"/>
      </w:pPr>
      <w:rPr>
        <w:rFonts w:cs="Times New Roman" w:hint="default"/>
      </w:rPr>
    </w:lvl>
    <w:lvl w:ilvl="7">
      <w:start w:val="1"/>
      <w:numFmt w:val="lowerRoman"/>
      <w:lvlText w:val="(%8)"/>
      <w:lvlJc w:val="left"/>
      <w:pPr>
        <w:ind w:left="1712"/>
      </w:pPr>
      <w:rPr>
        <w:rFonts w:cs="Times New Roman" w:hint="default"/>
      </w:rPr>
    </w:lvl>
    <w:lvl w:ilvl="8">
      <w:start w:val="1"/>
      <w:numFmt w:val="decimal"/>
      <w:lvlText w:val="(%9)"/>
      <w:lvlJc w:val="left"/>
      <w:pPr>
        <w:tabs>
          <w:tab w:val="num" w:pos="1474"/>
        </w:tabs>
        <w:ind w:left="2098" w:hanging="624"/>
      </w:pPr>
      <w:rPr>
        <w:rFonts w:ascii="Arial" w:hAnsi="Arial" w:cs="Times New Roman" w:hint="default"/>
        <w:b w:val="0"/>
        <w:i w:val="0"/>
        <w:sz w:val="22"/>
      </w:rPr>
    </w:lvl>
  </w:abstractNum>
  <w:abstractNum w:abstractNumId="5">
    <w:nsid w:val="13752DF8"/>
    <w:multiLevelType w:val="hybridMultilevel"/>
    <w:tmpl w:val="7F345C4C"/>
    <w:lvl w:ilvl="0" w:tplc="0FEE68F0">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008" w:hanging="360"/>
      </w:pPr>
    </w:lvl>
    <w:lvl w:ilvl="2" w:tplc="0408001B" w:tentative="1">
      <w:start w:val="1"/>
      <w:numFmt w:val="lowerRoman"/>
      <w:lvlText w:val="%3."/>
      <w:lvlJc w:val="right"/>
      <w:pPr>
        <w:ind w:left="1728" w:hanging="180"/>
      </w:pPr>
    </w:lvl>
    <w:lvl w:ilvl="3" w:tplc="0408000F" w:tentative="1">
      <w:start w:val="1"/>
      <w:numFmt w:val="decimal"/>
      <w:lvlText w:val="%4."/>
      <w:lvlJc w:val="left"/>
      <w:pPr>
        <w:ind w:left="2448" w:hanging="360"/>
      </w:pPr>
    </w:lvl>
    <w:lvl w:ilvl="4" w:tplc="04080019" w:tentative="1">
      <w:start w:val="1"/>
      <w:numFmt w:val="lowerLetter"/>
      <w:lvlText w:val="%5."/>
      <w:lvlJc w:val="left"/>
      <w:pPr>
        <w:ind w:left="3168" w:hanging="360"/>
      </w:pPr>
    </w:lvl>
    <w:lvl w:ilvl="5" w:tplc="0408001B" w:tentative="1">
      <w:start w:val="1"/>
      <w:numFmt w:val="lowerRoman"/>
      <w:lvlText w:val="%6."/>
      <w:lvlJc w:val="right"/>
      <w:pPr>
        <w:ind w:left="3888" w:hanging="180"/>
      </w:pPr>
    </w:lvl>
    <w:lvl w:ilvl="6" w:tplc="0408000F" w:tentative="1">
      <w:start w:val="1"/>
      <w:numFmt w:val="decimal"/>
      <w:lvlText w:val="%7."/>
      <w:lvlJc w:val="left"/>
      <w:pPr>
        <w:ind w:left="4608" w:hanging="360"/>
      </w:pPr>
    </w:lvl>
    <w:lvl w:ilvl="7" w:tplc="04080019" w:tentative="1">
      <w:start w:val="1"/>
      <w:numFmt w:val="lowerLetter"/>
      <w:lvlText w:val="%8."/>
      <w:lvlJc w:val="left"/>
      <w:pPr>
        <w:ind w:left="5328" w:hanging="360"/>
      </w:pPr>
    </w:lvl>
    <w:lvl w:ilvl="8" w:tplc="0408001B" w:tentative="1">
      <w:start w:val="1"/>
      <w:numFmt w:val="lowerRoman"/>
      <w:lvlText w:val="%9."/>
      <w:lvlJc w:val="right"/>
      <w:pPr>
        <w:ind w:left="6048" w:hanging="180"/>
      </w:pPr>
    </w:lvl>
  </w:abstractNum>
  <w:abstractNum w:abstractNumId="6">
    <w:nsid w:val="13D5149A"/>
    <w:multiLevelType w:val="multilevel"/>
    <w:tmpl w:val="0FF6ADAC"/>
    <w:lvl w:ilvl="0">
      <w:start w:val="1"/>
      <w:numFmt w:val="decimal"/>
      <w:lvlText w:val="%1."/>
      <w:lvlJc w:val="left"/>
      <w:pPr>
        <w:tabs>
          <w:tab w:val="num" w:pos="792"/>
        </w:tabs>
        <w:ind w:left="792" w:hanging="360"/>
      </w:pPr>
      <w:rPr>
        <w:b w:val="0"/>
      </w:rPr>
    </w:lvl>
    <w:lvl w:ilvl="1">
      <w:start w:val="2"/>
      <w:numFmt w:val="decimal"/>
      <w:isLgl/>
      <w:lvlText w:val="%1.%2"/>
      <w:lvlJc w:val="left"/>
      <w:pPr>
        <w:ind w:left="957" w:hanging="525"/>
      </w:pPr>
      <w:rPr>
        <w:rFonts w:hint="default"/>
      </w:rPr>
    </w:lvl>
    <w:lvl w:ilvl="2">
      <w:start w:val="2"/>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7">
    <w:nsid w:val="14E844EF"/>
    <w:multiLevelType w:val="hybridMultilevel"/>
    <w:tmpl w:val="7E7825CC"/>
    <w:lvl w:ilvl="0" w:tplc="48E25BCE">
      <w:start w:val="1"/>
      <w:numFmt w:val="decimal"/>
      <w:lvlText w:val="%1."/>
      <w:lvlJc w:val="left"/>
      <w:pPr>
        <w:tabs>
          <w:tab w:val="num" w:pos="792"/>
        </w:tabs>
        <w:ind w:left="792" w:hanging="360"/>
      </w:pPr>
      <w:rPr>
        <w:b w:val="0"/>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8">
    <w:nsid w:val="16403CC1"/>
    <w:multiLevelType w:val="hybridMultilevel"/>
    <w:tmpl w:val="D4349050"/>
    <w:lvl w:ilvl="0" w:tplc="8F64524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1A4C0CBF"/>
    <w:multiLevelType w:val="hybridMultilevel"/>
    <w:tmpl w:val="25D4C0D0"/>
    <w:lvl w:ilvl="0" w:tplc="5E2ADFDC">
      <w:start w:val="1"/>
      <w:numFmt w:val="decimal"/>
      <w:lvlText w:val="%1."/>
      <w:lvlJc w:val="left"/>
      <w:pPr>
        <w:tabs>
          <w:tab w:val="num" w:pos="1080"/>
        </w:tabs>
        <w:ind w:left="1080" w:hanging="360"/>
      </w:pPr>
      <w:rPr>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B8E40D8"/>
    <w:multiLevelType w:val="hybridMultilevel"/>
    <w:tmpl w:val="78860C70"/>
    <w:lvl w:ilvl="0" w:tplc="8E32B972">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FF815EC"/>
    <w:multiLevelType w:val="multilevel"/>
    <w:tmpl w:val="ECFAD770"/>
    <w:lvl w:ilvl="0">
      <w:start w:val="1"/>
      <w:numFmt w:val="decimal"/>
      <w:pStyle w:val="TableContents"/>
      <w:lvlText w:val="Παράρτημα %1. "/>
      <w:lvlJc w:val="left"/>
      <w:pPr>
        <w:tabs>
          <w:tab w:val="num" w:pos="2520"/>
        </w:tabs>
        <w:ind w:left="432" w:hanging="432"/>
      </w:pPr>
      <w:rPr>
        <w:rFonts w:ascii="Verdana" w:hAnsi="Verdana"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2363B96"/>
    <w:multiLevelType w:val="hybridMultilevel"/>
    <w:tmpl w:val="34BC7C30"/>
    <w:lvl w:ilvl="0" w:tplc="84066782">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4B609F1"/>
    <w:multiLevelType w:val="hybridMultilevel"/>
    <w:tmpl w:val="C79AE182"/>
    <w:lvl w:ilvl="0" w:tplc="D1C2A3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7D262E1"/>
    <w:multiLevelType w:val="hybridMultilevel"/>
    <w:tmpl w:val="E2E61EA6"/>
    <w:lvl w:ilvl="0" w:tplc="37FAC9B6">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39F0720"/>
    <w:multiLevelType w:val="hybridMultilevel"/>
    <w:tmpl w:val="D88C1008"/>
    <w:lvl w:ilvl="0" w:tplc="7BA299DE">
      <w:start w:val="1"/>
      <w:numFmt w:val="decimal"/>
      <w:lvlText w:val="%1."/>
      <w:lvlJc w:val="left"/>
      <w:pPr>
        <w:tabs>
          <w:tab w:val="num" w:pos="360"/>
        </w:tabs>
        <w:ind w:left="36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EE21CC7"/>
    <w:multiLevelType w:val="multilevel"/>
    <w:tmpl w:val="87B00E24"/>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6.%2"/>
      <w:lvlJc w:val="left"/>
      <w:pPr>
        <w:tabs>
          <w:tab w:val="num" w:pos="720"/>
        </w:tabs>
        <w:ind w:left="720" w:hanging="360"/>
      </w:pPr>
      <w:rPr>
        <w:rFonts w:ascii="Arial" w:hAnsi="Arial" w:cs="Arial" w:hint="default"/>
        <w:b/>
        <w:bCs/>
        <w:sz w:val="16"/>
        <w:szCs w:val="16"/>
      </w:rPr>
    </w:lvl>
    <w:lvl w:ilvl="2">
      <w:start w:val="1"/>
      <w:numFmt w:val="decimal"/>
      <w:lvlText w:val="%1.%2.%3"/>
      <w:lvlJc w:val="left"/>
      <w:pPr>
        <w:tabs>
          <w:tab w:val="num" w:pos="1440"/>
        </w:tabs>
        <w:ind w:left="1440" w:hanging="720"/>
      </w:pPr>
      <w:rPr>
        <w:rFonts w:ascii="Times New Roman" w:hAnsi="Times New Roman" w:cs="Times New Roman" w:hint="default"/>
        <w:sz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520"/>
        </w:tabs>
        <w:ind w:left="2520" w:hanging="1080"/>
      </w:pPr>
      <w:rPr>
        <w:rFonts w:ascii="Times New Roman" w:hAnsi="Times New Roman" w:cs="Times New Roman" w:hint="default"/>
        <w:sz w:val="24"/>
      </w:rPr>
    </w:lvl>
    <w:lvl w:ilvl="5">
      <w:start w:val="1"/>
      <w:numFmt w:val="decimal"/>
      <w:lvlText w:val="%1.%2.%3.%4.%5.%6"/>
      <w:lvlJc w:val="left"/>
      <w:pPr>
        <w:tabs>
          <w:tab w:val="num" w:pos="2880"/>
        </w:tabs>
        <w:ind w:left="2880" w:hanging="1080"/>
      </w:pPr>
      <w:rPr>
        <w:rFonts w:ascii="Times New Roman" w:hAnsi="Times New Roman" w:cs="Times New Roman" w:hint="default"/>
        <w:sz w:val="24"/>
      </w:rPr>
    </w:lvl>
    <w:lvl w:ilvl="6">
      <w:start w:val="1"/>
      <w:numFmt w:val="decimal"/>
      <w:lvlText w:val="%1.%2.%3.%4.%5.%6.%7"/>
      <w:lvlJc w:val="left"/>
      <w:pPr>
        <w:tabs>
          <w:tab w:val="num" w:pos="3600"/>
        </w:tabs>
        <w:ind w:left="3600" w:hanging="1440"/>
      </w:pPr>
      <w:rPr>
        <w:rFonts w:ascii="Times New Roman" w:hAnsi="Times New Roman" w:cs="Times New Roman" w:hint="default"/>
        <w:sz w:val="24"/>
      </w:rPr>
    </w:lvl>
    <w:lvl w:ilvl="7">
      <w:start w:val="1"/>
      <w:numFmt w:val="decimal"/>
      <w:lvlText w:val="%1.%2.%3.%4.%5.%6.%7.%8"/>
      <w:lvlJc w:val="left"/>
      <w:pPr>
        <w:tabs>
          <w:tab w:val="num" w:pos="3960"/>
        </w:tabs>
        <w:ind w:left="3960" w:hanging="1440"/>
      </w:pPr>
      <w:rPr>
        <w:rFonts w:ascii="Times New Roman" w:hAnsi="Times New Roman" w:cs="Times New Roman" w:hint="default"/>
        <w:sz w:val="24"/>
      </w:rPr>
    </w:lvl>
    <w:lvl w:ilvl="8">
      <w:start w:val="1"/>
      <w:numFmt w:val="decimal"/>
      <w:lvlText w:val="%1.%2.%3.%4.%5.%6.%7.%8.%9"/>
      <w:lvlJc w:val="left"/>
      <w:pPr>
        <w:tabs>
          <w:tab w:val="num" w:pos="4680"/>
        </w:tabs>
        <w:ind w:left="4680" w:hanging="1800"/>
      </w:pPr>
      <w:rPr>
        <w:rFonts w:ascii="Times New Roman" w:hAnsi="Times New Roman" w:cs="Times New Roman" w:hint="default"/>
        <w:sz w:val="24"/>
      </w:rPr>
    </w:lvl>
  </w:abstractNum>
  <w:abstractNum w:abstractNumId="17">
    <w:nsid w:val="3F3A56D2"/>
    <w:multiLevelType w:val="hybridMultilevel"/>
    <w:tmpl w:val="BFA466B6"/>
    <w:lvl w:ilvl="0" w:tplc="BB263C16">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040105D"/>
    <w:multiLevelType w:val="hybridMultilevel"/>
    <w:tmpl w:val="676055CA"/>
    <w:lvl w:ilvl="0" w:tplc="7CCACB9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3DF1750"/>
    <w:multiLevelType w:val="hybridMultilevel"/>
    <w:tmpl w:val="F5B6DDD8"/>
    <w:lvl w:ilvl="0" w:tplc="46A8EEFA">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4BE6F15"/>
    <w:multiLevelType w:val="multilevel"/>
    <w:tmpl w:val="4192E546"/>
    <w:lvl w:ilvl="0">
      <w:start w:val="1"/>
      <w:numFmt w:val="decimal"/>
      <w:lvlText w:val="ΜΕΡΟΣ %1."/>
      <w:lvlJc w:val="left"/>
      <w:pPr>
        <w:tabs>
          <w:tab w:val="num" w:pos="540"/>
        </w:tabs>
        <w:ind w:left="520" w:hanging="340"/>
      </w:pPr>
      <w:rPr>
        <w:rFonts w:ascii="Verdana" w:hAnsi="Verdana" w:cs="Times New Roman" w:hint="default"/>
        <w:b/>
        <w:i w:val="0"/>
        <w:color w:val="000080"/>
        <w:sz w:val="20"/>
        <w:szCs w:val="20"/>
      </w:rPr>
    </w:lvl>
    <w:lvl w:ilvl="1">
      <w:start w:val="1"/>
      <w:numFmt w:val="decimal"/>
      <w:lvlText w:val="%1.%2."/>
      <w:lvlJc w:val="left"/>
      <w:pPr>
        <w:tabs>
          <w:tab w:val="num" w:pos="3312"/>
        </w:tabs>
        <w:ind w:left="3312" w:hanging="432"/>
      </w:pPr>
      <w:rPr>
        <w:rFonts w:hint="default"/>
        <w:b/>
        <w:i w:val="0"/>
        <w:color w:val="auto"/>
        <w:sz w:val="18"/>
        <w:szCs w:val="18"/>
      </w:rPr>
    </w:lvl>
    <w:lvl w:ilvl="2">
      <w:start w:val="1"/>
      <w:numFmt w:val="decimal"/>
      <w:lvlText w:val="%1.%2.%3."/>
      <w:lvlJc w:val="left"/>
      <w:pPr>
        <w:tabs>
          <w:tab w:val="num" w:pos="720"/>
        </w:tabs>
        <w:ind w:left="504" w:hanging="504"/>
      </w:pPr>
      <w:rPr>
        <w:rFonts w:ascii="Verdana" w:hAnsi="Verdana" w:hint="default"/>
        <w:b/>
        <w:i w:val="0"/>
        <w:color w:val="auto"/>
        <w:sz w:val="18"/>
        <w:szCs w:val="18"/>
      </w:rPr>
    </w:lvl>
    <w:lvl w:ilvl="3">
      <w:start w:val="1"/>
      <w:numFmt w:val="decimal"/>
      <w:lvlText w:val="%1.%2.%3.%4."/>
      <w:lvlJc w:val="left"/>
      <w:pPr>
        <w:tabs>
          <w:tab w:val="num" w:pos="1260"/>
        </w:tabs>
        <w:ind w:left="828" w:hanging="648"/>
      </w:pPr>
      <w:rPr>
        <w:rFonts w:hint="default"/>
        <w:b/>
        <w:i w:val="0"/>
      </w:rPr>
    </w:lvl>
    <w:lvl w:ilvl="4">
      <w:start w:val="1"/>
      <w:numFmt w:val="decimal"/>
      <w:lvlText w:val="%1.%2.%3.%4.%5."/>
      <w:lvlJc w:val="left"/>
      <w:pPr>
        <w:tabs>
          <w:tab w:val="num" w:pos="1620"/>
        </w:tabs>
        <w:ind w:left="1332" w:hanging="792"/>
      </w:pPr>
      <w:rPr>
        <w:rFonts w:hint="default"/>
        <w:b/>
        <w:i w:val="0"/>
      </w:rPr>
    </w:lvl>
    <w:lvl w:ilvl="5">
      <w:start w:val="1"/>
      <w:numFmt w:val="decimal"/>
      <w:lvlText w:val="%1.%2.%3.%4.%5.%6."/>
      <w:lvlJc w:val="left"/>
      <w:pPr>
        <w:tabs>
          <w:tab w:val="num" w:pos="2340"/>
        </w:tabs>
        <w:ind w:left="1836" w:hanging="936"/>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42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21">
    <w:nsid w:val="459B05D4"/>
    <w:multiLevelType w:val="hybridMultilevel"/>
    <w:tmpl w:val="44F28B8C"/>
    <w:lvl w:ilvl="0" w:tplc="ED9ACB64">
      <w:start w:val="1"/>
      <w:numFmt w:val="decimal"/>
      <w:lvlText w:val="%1."/>
      <w:lvlJc w:val="left"/>
      <w:pPr>
        <w:tabs>
          <w:tab w:val="num" w:pos="720"/>
        </w:tabs>
        <w:ind w:left="720" w:hanging="360"/>
      </w:pPr>
      <w:rPr>
        <w:b w:val="0"/>
      </w:rPr>
    </w:lvl>
    <w:lvl w:ilvl="1" w:tplc="78A2719A">
      <w:start w:val="7"/>
      <w:numFmt w:val="low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5BE4B34"/>
    <w:multiLevelType w:val="hybridMultilevel"/>
    <w:tmpl w:val="A962AC02"/>
    <w:lvl w:ilvl="0" w:tplc="0FEE68F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4981274C"/>
    <w:multiLevelType w:val="multilevel"/>
    <w:tmpl w:val="8F4016F8"/>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6.%2"/>
      <w:lvlJc w:val="left"/>
      <w:pPr>
        <w:tabs>
          <w:tab w:val="num" w:pos="720"/>
        </w:tabs>
        <w:ind w:left="720" w:hanging="360"/>
      </w:pPr>
      <w:rPr>
        <w:rFonts w:ascii="Arial" w:hAnsi="Arial" w:cs="Arial" w:hint="default"/>
        <w:b/>
        <w:sz w:val="20"/>
        <w:szCs w:val="20"/>
      </w:rPr>
    </w:lvl>
    <w:lvl w:ilvl="2">
      <w:start w:val="1"/>
      <w:numFmt w:val="decimal"/>
      <w:lvlText w:val="%1.%2.%3"/>
      <w:lvlJc w:val="left"/>
      <w:pPr>
        <w:tabs>
          <w:tab w:val="num" w:pos="1440"/>
        </w:tabs>
        <w:ind w:left="1440" w:hanging="720"/>
      </w:pPr>
      <w:rPr>
        <w:rFonts w:ascii="Times New Roman" w:hAnsi="Times New Roman" w:cs="Times New Roman" w:hint="default"/>
        <w:sz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520"/>
        </w:tabs>
        <w:ind w:left="2520" w:hanging="1080"/>
      </w:pPr>
      <w:rPr>
        <w:rFonts w:ascii="Times New Roman" w:hAnsi="Times New Roman" w:cs="Times New Roman" w:hint="default"/>
        <w:sz w:val="24"/>
      </w:rPr>
    </w:lvl>
    <w:lvl w:ilvl="5">
      <w:start w:val="1"/>
      <w:numFmt w:val="decimal"/>
      <w:lvlText w:val="%1.%2.%3.%4.%5.%6"/>
      <w:lvlJc w:val="left"/>
      <w:pPr>
        <w:tabs>
          <w:tab w:val="num" w:pos="2880"/>
        </w:tabs>
        <w:ind w:left="2880" w:hanging="1080"/>
      </w:pPr>
      <w:rPr>
        <w:rFonts w:ascii="Times New Roman" w:hAnsi="Times New Roman" w:cs="Times New Roman" w:hint="default"/>
        <w:sz w:val="24"/>
      </w:rPr>
    </w:lvl>
    <w:lvl w:ilvl="6">
      <w:start w:val="1"/>
      <w:numFmt w:val="decimal"/>
      <w:lvlText w:val="%1.%2.%3.%4.%5.%6.%7"/>
      <w:lvlJc w:val="left"/>
      <w:pPr>
        <w:tabs>
          <w:tab w:val="num" w:pos="3600"/>
        </w:tabs>
        <w:ind w:left="3600" w:hanging="1440"/>
      </w:pPr>
      <w:rPr>
        <w:rFonts w:ascii="Times New Roman" w:hAnsi="Times New Roman" w:cs="Times New Roman" w:hint="default"/>
        <w:sz w:val="24"/>
      </w:rPr>
    </w:lvl>
    <w:lvl w:ilvl="7">
      <w:start w:val="1"/>
      <w:numFmt w:val="decimal"/>
      <w:lvlText w:val="%1.%2.%3.%4.%5.%6.%7.%8"/>
      <w:lvlJc w:val="left"/>
      <w:pPr>
        <w:tabs>
          <w:tab w:val="num" w:pos="3960"/>
        </w:tabs>
        <w:ind w:left="3960" w:hanging="1440"/>
      </w:pPr>
      <w:rPr>
        <w:rFonts w:ascii="Times New Roman" w:hAnsi="Times New Roman" w:cs="Times New Roman" w:hint="default"/>
        <w:sz w:val="24"/>
      </w:rPr>
    </w:lvl>
    <w:lvl w:ilvl="8">
      <w:start w:val="1"/>
      <w:numFmt w:val="decimal"/>
      <w:lvlText w:val="%1.%2.%3.%4.%5.%6.%7.%8.%9"/>
      <w:lvlJc w:val="left"/>
      <w:pPr>
        <w:tabs>
          <w:tab w:val="num" w:pos="4680"/>
        </w:tabs>
        <w:ind w:left="4680" w:hanging="1800"/>
      </w:pPr>
      <w:rPr>
        <w:rFonts w:ascii="Times New Roman" w:hAnsi="Times New Roman" w:cs="Times New Roman" w:hint="default"/>
        <w:sz w:val="24"/>
      </w:rPr>
    </w:lvl>
  </w:abstractNum>
  <w:abstractNum w:abstractNumId="24">
    <w:nsid w:val="4C1D3EE6"/>
    <w:multiLevelType w:val="hybridMultilevel"/>
    <w:tmpl w:val="777A2302"/>
    <w:lvl w:ilvl="0" w:tplc="5C2ECAF6">
      <w:start w:val="1"/>
      <w:numFmt w:val="decimal"/>
      <w:lvlText w:val="%1."/>
      <w:lvlJc w:val="left"/>
      <w:pPr>
        <w:tabs>
          <w:tab w:val="num" w:pos="360"/>
        </w:tabs>
        <w:ind w:left="360" w:hanging="360"/>
      </w:pPr>
      <w:rPr>
        <w:b w:val="0"/>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583E1723"/>
    <w:multiLevelType w:val="hybridMultilevel"/>
    <w:tmpl w:val="BD6C8B88"/>
    <w:lvl w:ilvl="0" w:tplc="75C8FDE6">
      <w:start w:val="1"/>
      <w:numFmt w:val="decimal"/>
      <w:lvlText w:val="%1)"/>
      <w:lvlJc w:val="left"/>
      <w:pPr>
        <w:tabs>
          <w:tab w:val="num" w:pos="720"/>
        </w:tabs>
        <w:ind w:left="720" w:hanging="360"/>
      </w:pPr>
      <w:rPr>
        <w:rFonts w:hint="default"/>
        <w:b w:val="0"/>
      </w:rPr>
    </w:lvl>
    <w:lvl w:ilvl="1" w:tplc="42623052">
      <w:start w:val="1"/>
      <w:numFmt w:val="decimal"/>
      <w:lvlText w:val="%2."/>
      <w:lvlJc w:val="left"/>
      <w:pPr>
        <w:tabs>
          <w:tab w:val="num" w:pos="720"/>
        </w:tabs>
        <w:ind w:left="720" w:hanging="360"/>
      </w:pPr>
      <w:rPr>
        <w:rFonts w:hint="default"/>
        <w:b/>
        <w:i w:val="0"/>
      </w:rPr>
    </w:lvl>
    <w:lvl w:ilvl="2" w:tplc="0408001B">
      <w:start w:val="1"/>
      <w:numFmt w:val="lowerRoman"/>
      <w:lvlText w:val="%3."/>
      <w:lvlJc w:val="right"/>
      <w:pPr>
        <w:tabs>
          <w:tab w:val="num" w:pos="2160"/>
        </w:tabs>
        <w:ind w:left="2160" w:hanging="180"/>
      </w:pPr>
    </w:lvl>
    <w:lvl w:ilvl="3" w:tplc="395E59E4">
      <w:start w:val="1"/>
      <w:numFmt w:val="lowerRoman"/>
      <w:lvlText w:val="%4)"/>
      <w:lvlJc w:val="left"/>
      <w:pPr>
        <w:ind w:left="3240" w:hanging="720"/>
      </w:pPr>
      <w:rPr>
        <w:rFonts w:hint="default"/>
        <w:sz w:val="22"/>
        <w:szCs w:val="22"/>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25067D0"/>
    <w:multiLevelType w:val="hybridMultilevel"/>
    <w:tmpl w:val="AB68661E"/>
    <w:lvl w:ilvl="0" w:tplc="410E3182">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6330625"/>
    <w:multiLevelType w:val="hybridMultilevel"/>
    <w:tmpl w:val="878681A2"/>
    <w:lvl w:ilvl="0" w:tplc="EE8871FE">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7C82062"/>
    <w:multiLevelType w:val="hybridMultilevel"/>
    <w:tmpl w:val="4052F1BC"/>
    <w:lvl w:ilvl="0" w:tplc="643E353A">
      <w:start w:val="1"/>
      <w:numFmt w:val="decimal"/>
      <w:lvlText w:val="%1."/>
      <w:lvlJc w:val="left"/>
      <w:pPr>
        <w:tabs>
          <w:tab w:val="num" w:pos="786"/>
        </w:tabs>
        <w:ind w:left="786"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A3D0147"/>
    <w:multiLevelType w:val="multilevel"/>
    <w:tmpl w:val="2E2EEA9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6B86546F"/>
    <w:multiLevelType w:val="hybridMultilevel"/>
    <w:tmpl w:val="01FA4826"/>
    <w:lvl w:ilvl="0" w:tplc="65CCA962">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EC24F99"/>
    <w:multiLevelType w:val="hybridMultilevel"/>
    <w:tmpl w:val="B8DAFBA4"/>
    <w:lvl w:ilvl="0" w:tplc="51BAC288">
      <w:start w:val="1"/>
      <w:numFmt w:val="decimal"/>
      <w:lvlText w:val="%1."/>
      <w:lvlJc w:val="left"/>
      <w:pPr>
        <w:tabs>
          <w:tab w:val="num" w:pos="720"/>
        </w:tabs>
        <w:ind w:left="720" w:hanging="360"/>
      </w:pPr>
      <w:rPr>
        <w:b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19A02D8"/>
    <w:multiLevelType w:val="hybridMultilevel"/>
    <w:tmpl w:val="C0FC3142"/>
    <w:lvl w:ilvl="0" w:tplc="2304D546">
      <w:start w:val="1"/>
      <w:numFmt w:val="decimal"/>
      <w:lvlText w:val="%1."/>
      <w:lvlJc w:val="left"/>
      <w:pPr>
        <w:tabs>
          <w:tab w:val="num" w:pos="792"/>
        </w:tabs>
        <w:ind w:left="792" w:hanging="360"/>
      </w:pPr>
      <w:rPr>
        <w:b w:val="0"/>
      </w:rPr>
    </w:lvl>
    <w:lvl w:ilvl="1" w:tplc="0D4EA3C2">
      <w:start w:val="3"/>
      <w:numFmt w:val="lowerRoman"/>
      <w:lvlText w:val="%2)"/>
      <w:lvlJc w:val="left"/>
      <w:pPr>
        <w:tabs>
          <w:tab w:val="num" w:pos="1872"/>
        </w:tabs>
        <w:ind w:left="1872" w:hanging="720"/>
      </w:pPr>
      <w:rPr>
        <w:rFonts w:hint="default"/>
      </w:r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33">
    <w:nsid w:val="73DC10F7"/>
    <w:multiLevelType w:val="multilevel"/>
    <w:tmpl w:val="E1A8A748"/>
    <w:lvl w:ilvl="0">
      <w:start w:val="1"/>
      <w:numFmt w:val="decimal"/>
      <w:lvlText w:val="%1."/>
      <w:lvlJc w:val="left"/>
      <w:pPr>
        <w:tabs>
          <w:tab w:val="num" w:pos="360"/>
        </w:tabs>
        <w:ind w:left="360" w:hanging="360"/>
      </w:pPr>
      <w:rPr>
        <w:rFonts w:hint="default"/>
        <w:b w:val="0"/>
      </w:rPr>
    </w:lvl>
    <w:lvl w:ilvl="1">
      <w:start w:val="6"/>
      <w:numFmt w:val="decimal"/>
      <w:isLgl/>
      <w:lvlText w:val="%1.%2"/>
      <w:lvlJc w:val="left"/>
      <w:pPr>
        <w:ind w:left="525"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73EC6B34"/>
    <w:multiLevelType w:val="hybridMultilevel"/>
    <w:tmpl w:val="784437C2"/>
    <w:lvl w:ilvl="0" w:tplc="96B632B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55463CD"/>
    <w:multiLevelType w:val="hybridMultilevel"/>
    <w:tmpl w:val="10EED3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A532729"/>
    <w:multiLevelType w:val="multilevel"/>
    <w:tmpl w:val="E3CEF3E2"/>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9"/>
  </w:num>
  <w:num w:numId="3">
    <w:abstractNumId w:val="34"/>
  </w:num>
  <w:num w:numId="4">
    <w:abstractNumId w:val="36"/>
  </w:num>
  <w:num w:numId="5">
    <w:abstractNumId w:val="2"/>
  </w:num>
  <w:num w:numId="6">
    <w:abstractNumId w:val="28"/>
  </w:num>
  <w:num w:numId="7">
    <w:abstractNumId w:val="27"/>
  </w:num>
  <w:num w:numId="8">
    <w:abstractNumId w:val="6"/>
  </w:num>
  <w:num w:numId="9">
    <w:abstractNumId w:val="32"/>
  </w:num>
  <w:num w:numId="10">
    <w:abstractNumId w:val="7"/>
  </w:num>
  <w:num w:numId="11">
    <w:abstractNumId w:val="21"/>
  </w:num>
  <w:num w:numId="12">
    <w:abstractNumId w:val="18"/>
  </w:num>
  <w:num w:numId="13">
    <w:abstractNumId w:val="14"/>
  </w:num>
  <w:num w:numId="14">
    <w:abstractNumId w:val="15"/>
  </w:num>
  <w:num w:numId="15">
    <w:abstractNumId w:val="24"/>
  </w:num>
  <w:num w:numId="16">
    <w:abstractNumId w:val="31"/>
  </w:num>
  <w:num w:numId="17">
    <w:abstractNumId w:val="3"/>
  </w:num>
  <w:num w:numId="18">
    <w:abstractNumId w:val="9"/>
  </w:num>
  <w:num w:numId="19">
    <w:abstractNumId w:val="17"/>
  </w:num>
  <w:num w:numId="20">
    <w:abstractNumId w:val="30"/>
  </w:num>
  <w:num w:numId="21">
    <w:abstractNumId w:val="10"/>
  </w:num>
  <w:num w:numId="22">
    <w:abstractNumId w:val="11"/>
  </w:num>
  <w:num w:numId="23">
    <w:abstractNumId w:val="8"/>
  </w:num>
  <w:num w:numId="24">
    <w:abstractNumId w:val="26"/>
  </w:num>
  <w:num w:numId="25">
    <w:abstractNumId w:val="33"/>
  </w:num>
  <w:num w:numId="26">
    <w:abstractNumId w:val="5"/>
  </w:num>
  <w:num w:numId="27">
    <w:abstractNumId w:val="1"/>
  </w:num>
  <w:num w:numId="28">
    <w:abstractNumId w:val="4"/>
  </w:num>
  <w:num w:numId="29">
    <w:abstractNumId w:val="22"/>
  </w:num>
  <w:num w:numId="30">
    <w:abstractNumId w:val="25"/>
  </w:num>
  <w:num w:numId="31">
    <w:abstractNumId w:val="29"/>
  </w:num>
  <w:num w:numId="32">
    <w:abstractNumId w:val="16"/>
  </w:num>
  <w:num w:numId="33">
    <w:abstractNumId w:val="35"/>
  </w:num>
  <w:num w:numId="34">
    <w:abstractNumId w:val="12"/>
  </w:num>
  <w:num w:numId="35">
    <w:abstractNumId w:val="13"/>
  </w:num>
  <w:num w:numId="36">
    <w:abstractNumId w:val="0"/>
  </w:num>
  <w:num w:numId="37">
    <w:abstractNumId w:val="23"/>
  </w:num>
  <w:numIdMacAtCleanup w:val="35"/>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98"/>
    <w:rPr>
      <w:lang w:val="en-GB" w:eastAsia="en-US"/>
    </w:rPr>
  </w:style>
  <w:style w:type="paragraph" w:styleId="Heading1">
    <w:name w:val="heading 1"/>
    <w:basedOn w:val="Normal"/>
    <w:next w:val="Normal"/>
    <w:qFormat/>
    <w:rsid w:val="00CD358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802F07"/>
    <w:pPr>
      <w:keepNext/>
      <w:spacing w:before="120" w:after="120" w:line="360" w:lineRule="auto"/>
      <w:outlineLvl w:val="1"/>
    </w:pPr>
    <w:rPr>
      <w:rFonts w:ascii="Verdana" w:hAnsi="Verdana"/>
      <w:b/>
      <w:color w:val="000080"/>
      <w:sz w:val="18"/>
      <w:szCs w:val="18"/>
      <w:lang w:val="x-none" w:eastAsia="x-none"/>
    </w:rPr>
  </w:style>
  <w:style w:type="paragraph" w:styleId="Heading3">
    <w:name w:val="heading 3"/>
    <w:basedOn w:val="Normal"/>
    <w:next w:val="Normal"/>
    <w:qFormat/>
    <w:rsid w:val="00524EB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640A43"/>
    <w:pPr>
      <w:spacing w:before="120" w:after="120" w:line="360" w:lineRule="auto"/>
      <w:jc w:val="both"/>
    </w:pPr>
    <w:rPr>
      <w:rFonts w:ascii="Arial" w:hAnsi="Arial" w:cs="Arial"/>
      <w:sz w:val="22"/>
      <w:szCs w:val="22"/>
    </w:rPr>
  </w:style>
  <w:style w:type="paragraph" w:styleId="BodyText2">
    <w:name w:val="Body Text 2"/>
    <w:basedOn w:val="Normal"/>
    <w:rsid w:val="00137A98"/>
    <w:pPr>
      <w:jc w:val="both"/>
    </w:pPr>
    <w:rPr>
      <w:sz w:val="22"/>
      <w:lang w:val="el-GR"/>
    </w:rPr>
  </w:style>
  <w:style w:type="paragraph" w:styleId="Subtitle">
    <w:name w:val="Subtitle"/>
    <w:basedOn w:val="Normal"/>
    <w:qFormat/>
    <w:rsid w:val="00137A98"/>
    <w:pPr>
      <w:spacing w:after="60"/>
      <w:jc w:val="center"/>
    </w:pPr>
    <w:rPr>
      <w:rFonts w:ascii="Arial" w:hAnsi="Arial"/>
      <w:b/>
      <w:sz w:val="24"/>
    </w:rPr>
  </w:style>
  <w:style w:type="paragraph" w:styleId="Footer">
    <w:name w:val="footer"/>
    <w:basedOn w:val="Normal"/>
    <w:rsid w:val="00137A98"/>
    <w:pPr>
      <w:tabs>
        <w:tab w:val="center" w:pos="4153"/>
        <w:tab w:val="right" w:pos="8306"/>
      </w:tabs>
    </w:pPr>
  </w:style>
  <w:style w:type="character" w:styleId="PageNumber">
    <w:name w:val="page number"/>
    <w:basedOn w:val="DefaultParagraphFont"/>
    <w:rsid w:val="00137A98"/>
  </w:style>
  <w:style w:type="character" w:customStyle="1" w:styleId="Heading2Char">
    <w:name w:val="Heading 2 Char"/>
    <w:link w:val="Heading2"/>
    <w:rsid w:val="00802F07"/>
    <w:rPr>
      <w:rFonts w:ascii="Verdana" w:hAnsi="Verdana"/>
      <w:b/>
      <w:color w:val="000080"/>
      <w:sz w:val="18"/>
      <w:szCs w:val="18"/>
    </w:rPr>
  </w:style>
  <w:style w:type="paragraph" w:styleId="BodyText">
    <w:name w:val="Body Text"/>
    <w:aliases w:val="Τίτλος Μελέτης"/>
    <w:basedOn w:val="Normal"/>
    <w:link w:val="BodyTextChar"/>
    <w:rsid w:val="00137A98"/>
    <w:pPr>
      <w:spacing w:after="120"/>
      <w:jc w:val="both"/>
    </w:pPr>
    <w:rPr>
      <w:rFonts w:ascii="Arial" w:hAnsi="Arial"/>
      <w:lang w:val="x-none" w:eastAsia="x-none"/>
    </w:rPr>
  </w:style>
  <w:style w:type="paragraph" w:styleId="CommentText">
    <w:name w:val="annotation text"/>
    <w:basedOn w:val="Normal"/>
    <w:link w:val="CommentTextChar"/>
    <w:uiPriority w:val="99"/>
    <w:semiHidden/>
    <w:rsid w:val="00137A98"/>
    <w:rPr>
      <w:lang w:val="el-GR" w:eastAsia="el-GR"/>
    </w:rPr>
  </w:style>
  <w:style w:type="paragraph" w:styleId="BalloonText">
    <w:name w:val="Balloon Text"/>
    <w:basedOn w:val="Normal"/>
    <w:semiHidden/>
    <w:rsid w:val="002612E1"/>
    <w:rPr>
      <w:rFonts w:ascii="Tahoma" w:hAnsi="Tahoma" w:cs="Tahoma"/>
      <w:sz w:val="16"/>
      <w:szCs w:val="16"/>
    </w:rPr>
  </w:style>
  <w:style w:type="paragraph" w:customStyle="1" w:styleId="TableContents">
    <w:name w:val="Table Contents"/>
    <w:basedOn w:val="Normal"/>
    <w:rsid w:val="00524EB1"/>
    <w:pPr>
      <w:numPr>
        <w:numId w:val="22"/>
      </w:numPr>
      <w:tabs>
        <w:tab w:val="clear" w:pos="2520"/>
      </w:tabs>
      <w:overflowPunct w:val="0"/>
      <w:autoSpaceDE w:val="0"/>
      <w:autoSpaceDN w:val="0"/>
      <w:adjustRightInd w:val="0"/>
      <w:spacing w:before="60" w:after="60"/>
      <w:ind w:left="57" w:right="57" w:firstLine="0"/>
      <w:textAlignment w:val="baseline"/>
    </w:pPr>
    <w:rPr>
      <w:rFonts w:ascii="Verdana" w:hAnsi="Verdana"/>
      <w:sz w:val="18"/>
      <w:lang w:val="el-GR"/>
    </w:rPr>
  </w:style>
  <w:style w:type="character" w:styleId="Hyperlink">
    <w:name w:val="Hyperlink"/>
    <w:rsid w:val="00524EB1"/>
    <w:rPr>
      <w:color w:val="0000FF"/>
      <w:u w:val="single"/>
    </w:rPr>
  </w:style>
  <w:style w:type="paragraph" w:styleId="EndnoteText">
    <w:name w:val="endnote text"/>
    <w:basedOn w:val="Normal"/>
    <w:semiHidden/>
    <w:rsid w:val="002858B6"/>
  </w:style>
  <w:style w:type="character" w:styleId="EndnoteReference">
    <w:name w:val="endnote reference"/>
    <w:semiHidden/>
    <w:rsid w:val="002858B6"/>
    <w:rPr>
      <w:vertAlign w:val="superscript"/>
    </w:rPr>
  </w:style>
  <w:style w:type="character" w:customStyle="1" w:styleId="CharChar2">
    <w:name w:val=" Char Char2"/>
    <w:rsid w:val="00CD358A"/>
    <w:rPr>
      <w:rFonts w:ascii="Arial" w:hAnsi="Arial"/>
      <w:b/>
      <w:sz w:val="22"/>
      <w:szCs w:val="22"/>
      <w:lang w:val="el-GR" w:eastAsia="el-GR" w:bidi="ar-SA"/>
    </w:rPr>
  </w:style>
  <w:style w:type="table" w:styleId="TableColorful2">
    <w:name w:val="Table Colorful 2"/>
    <w:basedOn w:val="TableNormal"/>
    <w:rsid w:val="00CD358A"/>
    <w:pPr>
      <w:overflowPunct w:val="0"/>
      <w:autoSpaceDE w:val="0"/>
      <w:autoSpaceDN w:val="0"/>
      <w:adjustRightInd w:val="0"/>
      <w:spacing w:after="120"/>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rsid w:val="00A02B53"/>
    <w:pPr>
      <w:tabs>
        <w:tab w:val="center" w:pos="4153"/>
        <w:tab w:val="right" w:pos="8306"/>
      </w:tabs>
    </w:pPr>
  </w:style>
  <w:style w:type="paragraph" w:customStyle="1" w:styleId="MediumGrid21">
    <w:name w:val="Medium Grid 21"/>
    <w:qFormat/>
    <w:rsid w:val="006F073E"/>
    <w:rPr>
      <w:rFonts w:eastAsia="Calibri"/>
      <w:sz w:val="24"/>
      <w:szCs w:val="24"/>
    </w:rPr>
  </w:style>
  <w:style w:type="character" w:customStyle="1" w:styleId="CommentTextChar">
    <w:name w:val="Comment Text Char"/>
    <w:link w:val="CommentText"/>
    <w:uiPriority w:val="99"/>
    <w:semiHidden/>
    <w:rsid w:val="00802F07"/>
  </w:style>
  <w:style w:type="character" w:customStyle="1" w:styleId="BodyTextChar">
    <w:name w:val="Body Text Char"/>
    <w:aliases w:val="Τίτλος Μελέτης Char"/>
    <w:link w:val="BodyText"/>
    <w:rsid w:val="00F67DC5"/>
    <w:rPr>
      <w:rFonts w:ascii="Arial" w:hAnsi="Arial"/>
    </w:rPr>
  </w:style>
  <w:style w:type="character" w:styleId="CommentReference">
    <w:name w:val="annotation reference"/>
    <w:uiPriority w:val="99"/>
    <w:rsid w:val="00230042"/>
    <w:rPr>
      <w:rFonts w:cs="Times New Roman"/>
      <w:sz w:val="16"/>
      <w:szCs w:val="16"/>
    </w:rPr>
  </w:style>
  <w:style w:type="paragraph" w:customStyle="1" w:styleId="Narticle">
    <w:name w:val="Narticle"/>
    <w:basedOn w:val="Normal"/>
    <w:link w:val="NarticleChar"/>
    <w:uiPriority w:val="99"/>
    <w:rsid w:val="00230042"/>
    <w:pPr>
      <w:numPr>
        <w:ilvl w:val="5"/>
        <w:numId w:val="1"/>
      </w:numPr>
      <w:spacing w:before="240"/>
      <w:jc w:val="both"/>
    </w:pPr>
    <w:rPr>
      <w:rFonts w:ascii="Arial" w:hAnsi="Arial"/>
      <w:sz w:val="22"/>
      <w:lang w:val="x-none" w:eastAsia="x-none"/>
    </w:rPr>
  </w:style>
  <w:style w:type="paragraph" w:customStyle="1" w:styleId="Narticle-">
    <w:name w:val="Narticle-α"/>
    <w:basedOn w:val="Normal"/>
    <w:uiPriority w:val="99"/>
    <w:rsid w:val="00230042"/>
    <w:pPr>
      <w:tabs>
        <w:tab w:val="left" w:pos="1134"/>
      </w:tabs>
      <w:spacing w:before="240"/>
      <w:ind w:left="1080" w:hanging="360"/>
      <w:jc w:val="both"/>
    </w:pPr>
    <w:rPr>
      <w:rFonts w:ascii="Arial" w:hAnsi="Arial" w:cs="Arial"/>
      <w:sz w:val="22"/>
      <w:szCs w:val="22"/>
      <w:lang w:val="el-GR" w:eastAsia="el-GR"/>
    </w:rPr>
  </w:style>
  <w:style w:type="paragraph" w:customStyle="1" w:styleId="Narticle-0">
    <w:name w:val="Narticle-α(ι)"/>
    <w:basedOn w:val="Normal"/>
    <w:uiPriority w:val="99"/>
    <w:rsid w:val="00230042"/>
    <w:pPr>
      <w:numPr>
        <w:ilvl w:val="7"/>
        <w:numId w:val="1"/>
      </w:numPr>
      <w:spacing w:before="240"/>
      <w:ind w:left="1712" w:firstLine="0"/>
      <w:jc w:val="both"/>
    </w:pPr>
    <w:rPr>
      <w:rFonts w:ascii="Arial" w:hAnsi="Arial" w:cs="Arial"/>
      <w:sz w:val="22"/>
      <w:szCs w:val="22"/>
      <w:lang w:val="el-GR" w:eastAsia="el-GR"/>
    </w:rPr>
  </w:style>
  <w:style w:type="character" w:customStyle="1" w:styleId="NarticleChar">
    <w:name w:val="Narticle Char"/>
    <w:link w:val="Narticle"/>
    <w:uiPriority w:val="99"/>
    <w:locked/>
    <w:rsid w:val="00230042"/>
    <w:rPr>
      <w:rFonts w:ascii="Arial" w:hAnsi="Arial"/>
      <w:sz w:val="22"/>
    </w:rPr>
  </w:style>
  <w:style w:type="paragraph" w:customStyle="1" w:styleId="Narticle-i">
    <w:name w:val="Narticle-α(i)(α)"/>
    <w:basedOn w:val="ColorfulList-Accent11"/>
    <w:uiPriority w:val="99"/>
    <w:rsid w:val="00230042"/>
    <w:pPr>
      <w:numPr>
        <w:numId w:val="27"/>
      </w:numPr>
      <w:tabs>
        <w:tab w:val="clear" w:pos="360"/>
        <w:tab w:val="num" w:pos="1474"/>
        <w:tab w:val="num" w:pos="3780"/>
      </w:tabs>
      <w:spacing w:before="240"/>
      <w:ind w:left="2098" w:hanging="624"/>
      <w:contextualSpacing/>
      <w:jc w:val="both"/>
    </w:pPr>
    <w:rPr>
      <w:rFonts w:ascii="Arial" w:hAnsi="Arial"/>
      <w:sz w:val="22"/>
      <w:lang w:val="el-GR" w:eastAsia="el-GR"/>
    </w:rPr>
  </w:style>
  <w:style w:type="paragraph" w:customStyle="1" w:styleId="ColorfulList-Accent11">
    <w:name w:val="Colorful List - Accent 11"/>
    <w:basedOn w:val="Normal"/>
    <w:uiPriority w:val="34"/>
    <w:qFormat/>
    <w:rsid w:val="00230042"/>
    <w:pPr>
      <w:ind w:left="720"/>
    </w:pPr>
  </w:style>
  <w:style w:type="table" w:styleId="TableGrid">
    <w:name w:val="Table Grid"/>
    <w:basedOn w:val="TableNormal"/>
    <w:rsid w:val="005A29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457017"/>
    <w:rPr>
      <w:b/>
      <w:bCs/>
      <w:lang w:val="en-GB" w:eastAsia="en-US"/>
    </w:rPr>
  </w:style>
  <w:style w:type="character" w:customStyle="1" w:styleId="CommentSubjectChar">
    <w:name w:val="Comment Subject Char"/>
    <w:link w:val="CommentSubject"/>
    <w:rsid w:val="004570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2513</Words>
  <Characters>13573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Αποφαση 2</vt:lpstr>
    </vt:vector>
  </TitlesOfParts>
  <Company>CSD SA</Company>
  <LinksUpToDate>false</LinksUpToDate>
  <CharactersWithSpaces>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Αποφαση 2</dc:title>
  <dc:subject/>
  <dc:creator>msaxoni</dc:creator>
  <cp:keywords/>
  <cp:lastModifiedBy>Andrianakis, Ioannis</cp:lastModifiedBy>
  <cp:revision>2</cp:revision>
  <cp:lastPrinted>2012-02-16T20:17:00Z</cp:lastPrinted>
  <dcterms:created xsi:type="dcterms:W3CDTF">2014-11-06T16:00:00Z</dcterms:created>
  <dcterms:modified xsi:type="dcterms:W3CDTF">2014-11-06T16:00:00Z</dcterms:modified>
</cp:coreProperties>
</file>